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07.10.2025</w:t>
                            </w:r>
                            <w:r>
                              <w:t xml:space="preserve"> № 108н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7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pStyle w:val="Style_3"/>
      </w:pPr>
      <w:r>
        <w:t>1. </w:t>
      </w:r>
      <w:r>
        <w:t>В п</w:t>
      </w:r>
      <w:r>
        <w:t>одпункт</w:t>
      </w:r>
      <w:r>
        <w:t>е</w:t>
      </w:r>
      <w:r>
        <w:t xml:space="preserve"> 2.2 п</w:t>
      </w:r>
      <w:r>
        <w:t xml:space="preserve">ункта </w:t>
      </w:r>
      <w:r>
        <w:t xml:space="preserve">2 раздела </w:t>
      </w:r>
      <w:r>
        <w:t>II</w:t>
      </w:r>
      <w:r>
        <w:t xml:space="preserve"> «Классификац</w:t>
      </w:r>
      <w:r>
        <w:t>ия расходов областного бюджета»</w:t>
      </w:r>
      <w:r>
        <w:t>:</w:t>
      </w:r>
      <w:r>
        <w:t xml:space="preserve"> 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подпункт 2.2.194</w:t>
      </w:r>
      <w:r>
        <w:rPr>
          <w:sz w:val="28"/>
          <w:vertAlign w:val="superscript"/>
        </w:rPr>
        <w:t>12</w:t>
      </w:r>
      <w:r>
        <w:rPr>
          <w:sz w:val="28"/>
        </w:rPr>
        <w:t xml:space="preserve"> изложить в следующей редакции: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«2.2.194</w:t>
      </w:r>
      <w:r>
        <w:rPr>
          <w:sz w:val="28"/>
          <w:vertAlign w:val="superscript"/>
        </w:rPr>
        <w:t>12</w:t>
      </w:r>
      <w:r>
        <w:rPr>
          <w:sz w:val="28"/>
        </w:rPr>
        <w:t>. </w:t>
      </w:r>
      <w:r>
        <w:rPr>
          <w:sz w:val="28"/>
        </w:rPr>
        <w:t>По направлению расходов «</w:t>
      </w:r>
      <w:r>
        <w:rPr>
          <w:sz w:val="28"/>
        </w:rPr>
        <w:t>12901 Расходы по </w:t>
      </w:r>
      <w:r>
        <w:rPr>
          <w:sz w:val="28"/>
        </w:rPr>
        <w:t>размещению и питанию граждан Российской Федерации, проживающих на территории Курской области, вынужденно покинувших жилые помещения и находящихся в пунктах временного размещения и питания на</w:t>
      </w:r>
      <w:r>
        <w:rPr>
          <w:sz w:val="28"/>
        </w:rPr>
        <w:t> </w:t>
      </w:r>
      <w:r>
        <w:rPr>
          <w:sz w:val="28"/>
        </w:rPr>
        <w:t>территории Курской области, за счет резервного фонда Правительства Курской области» отражаются расходы областного бюджета по</w:t>
      </w:r>
      <w:r>
        <w:rPr>
          <w:sz w:val="28"/>
        </w:rPr>
        <w:t> </w:t>
      </w:r>
      <w:r>
        <w:rPr>
          <w:sz w:val="28"/>
        </w:rPr>
        <w:t>размещению и питанию граждан Российской Федерации, проживающих на территории Курской области, вынужденно покинувших жилые помещения</w:t>
      </w:r>
      <w:r>
        <w:rPr>
          <w:sz w:val="28"/>
        </w:rPr>
        <w:t xml:space="preserve"> </w:t>
      </w:r>
      <w:r>
        <w:rPr>
          <w:sz w:val="28"/>
        </w:rPr>
        <w:t>и находящихся в пунктах временного размещения и питания на</w:t>
      </w:r>
      <w:r>
        <w:rPr>
          <w:sz w:val="28"/>
        </w:rPr>
        <w:t> </w:t>
      </w:r>
      <w:r>
        <w:rPr>
          <w:sz w:val="28"/>
        </w:rPr>
        <w:t>территории Курской области, за счет резервного фонда Правительства Курской области.»;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дополнить подпунктом 2.2.343.1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следующего содержания: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«2.2.343.1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>По направлению расходов «</w:t>
      </w:r>
      <w:r>
        <w:rPr>
          <w:sz w:val="28"/>
        </w:rPr>
        <w:t>R</w:t>
      </w:r>
      <w:r>
        <w:rPr>
          <w:sz w:val="28"/>
        </w:rPr>
        <w:t xml:space="preserve">8150 </w:t>
      </w:r>
      <w:r>
        <w:rPr>
          <w:color w:themeColor="text1" w:val="000000"/>
          <w:sz w:val="28"/>
        </w:rPr>
        <w:t>Реализация мероприятий по </w:t>
      </w:r>
      <w:r>
        <w:rPr>
          <w:color w:themeColor="text1" w:val="000000"/>
          <w:sz w:val="28"/>
        </w:rPr>
        <w:t>обеспечению лекарственными препаратами для медицинского приме</w:t>
      </w:r>
      <w:r>
        <w:rPr>
          <w:color w:themeColor="text1" w:val="000000"/>
          <w:sz w:val="28"/>
        </w:rPr>
        <w:t>нения, медицинскими изделиями и </w:t>
      </w:r>
      <w:r>
        <w:rPr>
          <w:color w:themeColor="text1" w:val="000000"/>
          <w:sz w:val="28"/>
        </w:rPr>
        <w:t>специализированными продуктами лечебного питания для детей-инвалидов граждан Российской Феде</w:t>
      </w:r>
      <w:r>
        <w:rPr>
          <w:color w:themeColor="text1" w:val="000000"/>
          <w:sz w:val="28"/>
        </w:rPr>
        <w:t>рации, постоянно проживающих на </w:t>
      </w:r>
      <w:r>
        <w:rPr>
          <w:color w:themeColor="text1" w:val="000000"/>
          <w:sz w:val="28"/>
        </w:rPr>
        <w:t>территории Курской области»</w:t>
      </w:r>
      <w:r>
        <w:rPr>
          <w:sz w:val="28"/>
        </w:rPr>
        <w:t xml:space="preserve"> отражаются расходы областного бюджета, источником финансового обеспечения которых являются средства резервного фонда Правительства Российской Федерации, на</w:t>
      </w:r>
      <w:r>
        <w:rPr>
          <w:sz w:val="28"/>
        </w:rPr>
        <w:t> </w:t>
      </w:r>
      <w:r>
        <w:rPr>
          <w:sz w:val="28"/>
        </w:rPr>
        <w:t>р</w:t>
      </w:r>
      <w:r>
        <w:rPr>
          <w:color w:themeColor="text1" w:val="000000"/>
          <w:sz w:val="28"/>
        </w:rPr>
        <w:t>еализацию мероприятий по обеспечению лекарственными препаратами для медицинского применения, медицинскими изделиями и</w:t>
      </w:r>
      <w:r>
        <w:rPr>
          <w:color w:themeColor="text1" w:val="000000"/>
          <w:sz w:val="28"/>
        </w:rPr>
        <w:t> </w:t>
      </w:r>
      <w:r>
        <w:rPr>
          <w:color w:themeColor="text1" w:val="000000"/>
          <w:sz w:val="28"/>
        </w:rPr>
        <w:t>специализированными</w:t>
      </w:r>
      <w:r>
        <w:rPr>
          <w:color w:themeColor="text1" w:val="000000"/>
          <w:sz w:val="28"/>
        </w:rPr>
        <w:t xml:space="preserve"> продуктами лечебного питания для детей-</w:t>
      </w:r>
      <w:r>
        <w:rPr>
          <w:color w:themeColor="text1" w:val="000000"/>
          <w:sz w:val="28"/>
        </w:rPr>
        <w:t>инвалидов граждан Российской Феде</w:t>
      </w:r>
      <w:r>
        <w:rPr>
          <w:color w:themeColor="text1" w:val="000000"/>
          <w:sz w:val="28"/>
        </w:rPr>
        <w:t>рации, постоянно проживающих на </w:t>
      </w:r>
      <w:r>
        <w:rPr>
          <w:color w:themeColor="text1" w:val="000000"/>
          <w:sz w:val="28"/>
        </w:rPr>
        <w:t>территории Курской области</w:t>
      </w:r>
      <w:r>
        <w:rPr>
          <w:sz w:val="28"/>
        </w:rPr>
        <w:t>.».</w:t>
      </w:r>
    </w:p>
    <w:p w14:paraId="16000000">
      <w:pPr>
        <w:ind w:firstLine="720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</w:t>
      </w:r>
      <w:r>
        <w:rPr>
          <w:sz w:val="28"/>
        </w:rPr>
        <w:t>риложении 1 к указанному Порядку</w:t>
      </w:r>
      <w:r>
        <w:rPr>
          <w:sz w:val="28"/>
        </w:rPr>
        <w:t>:</w:t>
      </w:r>
    </w:p>
    <w:p w14:paraId="17000000">
      <w:pPr>
        <w:ind w:firstLine="720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591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2"/>
            </w:pPr>
            <w:r>
              <w:t>«01 4 05 R2160</w:t>
            </w:r>
          </w:p>
        </w:tc>
        <w:tc>
          <w:tcPr>
            <w:tcW w:type="dxa" w:w="7087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pStyle w:val="Style_2"/>
              <w:ind/>
              <w:jc w:val="both"/>
            </w:pPr>
            <w:r>
              <w:t>Реализация организационных мероприятий, связанных с</w:t>
            </w:r>
            <w:r>
              <w:t> </w:t>
            </w:r>
            <w:r>
              <w:t xml:space="preserve">обеспечением лиц лекарственными препаратами, предназначенными для лечения больных гемофилией, </w:t>
            </w:r>
            <w:r>
              <w:t>муковисцидозом</w:t>
            </w:r>
            <w: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r>
              <w:t>гемолитико-уремическим</w:t>
            </w:r>
            <w:r>
              <w:t xml:space="preserve"> синдромом, юношеским артритом с системным началом, </w:t>
            </w:r>
            <w:r>
              <w:t>мукополисахаридозом</w:t>
            </w:r>
            <w:r>
              <w:t xml:space="preserve"> I, II и VI типов, </w:t>
            </w:r>
            <w:r>
              <w:t>апластической</w:t>
            </w:r>
            <w:r>
              <w:t xml:space="preserve"> анемией </w:t>
            </w:r>
            <w:r>
              <w:t>неуточненной</w:t>
            </w:r>
            <w:r>
              <w:t>, наследственным дефицитом факторов II (фибриногена), VII (лабильного), X</w:t>
            </w:r>
            <w:r>
              <w:t> </w:t>
            </w:r>
            <w:r>
              <w:t>(</w:t>
            </w:r>
            <w:r>
              <w:t>Стюарта-Прауэра</w:t>
            </w:r>
            <w:r>
              <w:t>), а также после трансплантации органов и</w:t>
            </w:r>
            <w:r>
              <w:t xml:space="preserve"> (или) тканей»</w:t>
            </w:r>
          </w:p>
        </w:tc>
      </w:tr>
    </w:tbl>
    <w:p w14:paraId="1A000000">
      <w:pPr>
        <w:pStyle w:val="Style_3"/>
        <w:ind w:firstLine="709" w:left="0"/>
      </w:pPr>
      <w:r>
        <w:t>дополнить строкой следующего содержания</w:t>
      </w:r>
      <w:r>
        <w:t>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734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ind/>
              <w:jc w:val="both"/>
              <w:rPr>
                <w:sz w:val="28"/>
              </w:rPr>
            </w:pPr>
            <w:r>
              <w:rPr>
                <w:color w:val="22272F"/>
                <w:sz w:val="28"/>
              </w:rPr>
              <w:t>«01 4 05 R8150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8"/>
              </w:rPr>
            </w:pPr>
            <w:r>
              <w:rPr>
                <w:color w:themeColor="text1" w:val="000000"/>
                <w:sz w:val="28"/>
              </w:rPr>
              <w:t>Реализация мероприятий по обеспечению лекарственными препаратами для медицинского применения, медицинскими изделиями и</w:t>
            </w:r>
            <w:r>
              <w:rPr>
                <w:color w:themeColor="text1" w:val="000000"/>
                <w:sz w:val="28"/>
              </w:rPr>
              <w:t> </w:t>
            </w:r>
            <w:r>
              <w:rPr>
                <w:color w:themeColor="text1" w:val="000000"/>
                <w:sz w:val="28"/>
              </w:rPr>
              <w:t>специализированными продуктами лечебного питания для детей-инвалидов граждан Российской Федерации, постоянно проживающих на территории Курской области»;</w:t>
            </w:r>
          </w:p>
        </w:tc>
      </w:tr>
    </w:tbl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2) строку:</w:t>
      </w:r>
    </w:p>
    <w:tbl>
      <w:tblPr>
        <w:tblStyle w:val="Style_4"/>
        <w:tblInd w:type="dxa" w:w="62"/>
        <w:tblLayout w:type="fixed"/>
        <w:tblCellMar>
          <w:left w:type="dxa" w:w="10"/>
          <w:right w:type="dxa" w:w="10"/>
        </w:tblCellMar>
      </w:tblPr>
      <w:tblGrid>
        <w:gridCol w:w="1985"/>
        <w:gridCol w:w="7087"/>
      </w:tblGrid>
      <w:tr>
        <w:tc>
          <w:tcPr>
            <w:tcW w:type="dxa" w:w="1985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ind/>
              <w:jc w:val="both"/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«84 1 00 12901</w:t>
            </w:r>
          </w:p>
        </w:tc>
        <w:tc>
          <w:tcPr>
            <w:tcW w:type="dxa" w:w="7087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both"/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Расходы по размещению и питанию</w:t>
            </w:r>
            <w:r>
              <w:rPr>
                <w:color w:val="22272F"/>
                <w:sz w:val="28"/>
              </w:rPr>
              <w:t xml:space="preserve"> граждан Российской Федерации, </w:t>
            </w:r>
            <w:r>
              <w:rPr>
                <w:color w:val="22272F"/>
                <w:sz w:val="28"/>
              </w:rPr>
              <w:t>постоянно проживающих на территории Курской области, вынужденно покинувших жилые помещения и находящихся в пунктах временного размещения и питания на территории Курской области, за счет резервного фонда Правительства Курской области»</w:t>
            </w:r>
          </w:p>
        </w:tc>
      </w:tr>
    </w:tbl>
    <w:p w14:paraId="20000000">
      <w:pPr>
        <w:ind w:firstLine="709" w:left="0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4"/>
        <w:tblInd w:type="dxa" w:w="62"/>
        <w:tblLayout w:type="fixed"/>
        <w:tblCellMar>
          <w:left w:type="dxa" w:w="10"/>
          <w:right w:type="dxa" w:w="10"/>
        </w:tblCellMar>
      </w:tblPr>
      <w:tblGrid>
        <w:gridCol w:w="1985"/>
        <w:gridCol w:w="7087"/>
      </w:tblGrid>
      <w:tr>
        <w:tc>
          <w:tcPr>
            <w:tcW w:type="dxa" w:w="1985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ind/>
              <w:jc w:val="both"/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«84 1 00 12901</w:t>
            </w:r>
          </w:p>
        </w:tc>
        <w:tc>
          <w:tcPr>
            <w:tcW w:type="dxa" w:w="7087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ind/>
              <w:jc w:val="both"/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Расходы по размещению и питанию граждан Российской Федерации, проживающих на территории Курской области, вынужденно покинувших жилые помещения и находящихся в пунктах временного размещения и питания на территории Курской области, за счет резервного фонда Правительства Курской области».</w:t>
            </w:r>
          </w:p>
        </w:tc>
      </w:tr>
    </w:tbl>
    <w:p w14:paraId="23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No Spacing"/>
    <w:link w:val="Style_6_ch"/>
    <w:pPr>
      <w:spacing w:after="0" w:line="240" w:lineRule="auto"/>
      <w:ind/>
    </w:pPr>
    <w:rPr>
      <w:rFonts w:ascii="Times New Roman" w:hAnsi="Times New Roman"/>
      <w:sz w:val="28"/>
    </w:rPr>
  </w:style>
  <w:style w:styleId="Style_6_ch" w:type="character">
    <w:name w:val="No Spacing"/>
    <w:link w:val="Style_6"/>
    <w:rPr>
      <w:rFonts w:ascii="Times New Roman" w:hAnsi="Times New Roman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Font Style12"/>
    <w:link w:val="Style_9_ch"/>
    <w:rPr>
      <w:rFonts w:ascii="Times New Roman" w:hAnsi="Times New Roman"/>
      <w:sz w:val="30"/>
    </w:rPr>
  </w:style>
  <w:style w:styleId="Style_9_ch" w:type="character">
    <w:name w:val="Font Style12"/>
    <w:link w:val="Style_9"/>
    <w:rPr>
      <w:rFonts w:ascii="Times New Roman" w:hAnsi="Times New Roman"/>
      <w:sz w:val="30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List Paragraph"/>
    <w:basedOn w:val="Style_5"/>
    <w:link w:val="Style_12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2_ch" w:type="character">
    <w:name w:val="List Paragraph"/>
    <w:basedOn w:val="Style_5_ch"/>
    <w:link w:val="Style_12"/>
    <w:rPr>
      <w:rFonts w:ascii="Calibri" w:hAnsi="Calibri"/>
      <w:sz w:val="22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highlightsearch"/>
    <w:basedOn w:val="Style_15"/>
    <w:link w:val="Style_14_ch"/>
  </w:style>
  <w:style w:styleId="Style_14_ch" w:type="character">
    <w:name w:val="highlightsearch"/>
    <w:basedOn w:val="Style_15_ch"/>
    <w:link w:val="Style_14"/>
  </w:style>
  <w:style w:styleId="Style_16" w:type="paragraph">
    <w:name w:val="ConsPlusTitle"/>
    <w:link w:val="Style_16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6_ch" w:type="character">
    <w:name w:val="ConsPlusTitle"/>
    <w:link w:val="Style_16"/>
    <w:rPr>
      <w:rFonts w:ascii="Calibri" w:hAnsi="Calibri"/>
      <w:b w:val="1"/>
    </w:rPr>
  </w:style>
  <w:style w:styleId="Style_17" w:type="paragraph">
    <w:name w:val="msonormal_mr_css_attr"/>
    <w:basedOn w:val="Style_5"/>
    <w:link w:val="Style_17_ch"/>
    <w:pPr>
      <w:spacing w:afterAutospacing="on" w:beforeAutospacing="on"/>
      <w:ind/>
    </w:pPr>
  </w:style>
  <w:style w:styleId="Style_17_ch" w:type="character">
    <w:name w:val="msonormal_mr_css_attr"/>
    <w:basedOn w:val="Style_5_ch"/>
    <w:link w:val="Style_17"/>
  </w:style>
  <w:style w:styleId="Style_18" w:type="paragraph">
    <w:name w:val="s_1"/>
    <w:basedOn w:val="Style_5"/>
    <w:link w:val="Style_18_ch"/>
    <w:pPr>
      <w:spacing w:afterAutospacing="on" w:beforeAutospacing="on"/>
      <w:ind/>
    </w:pPr>
  </w:style>
  <w:style w:styleId="Style_18_ch" w:type="character">
    <w:name w:val="s_1"/>
    <w:basedOn w:val="Style_5_ch"/>
    <w:link w:val="Style_18"/>
  </w:style>
  <w:style w:styleId="Style_19" w:type="paragraph">
    <w:name w:val="toc 3"/>
    <w:next w:val="Style_5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ConsPlusTitlePage"/>
    <w:link w:val="Style_20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0_ch" w:type="character">
    <w:name w:val="ConsPlusTitlePage"/>
    <w:link w:val="Style_20"/>
    <w:rPr>
      <w:rFonts w:ascii="Tahoma" w:hAnsi="Tahoma"/>
      <w:sz w:val="20"/>
    </w:rPr>
  </w:style>
  <w:style w:styleId="Style_21" w:type="paragraph">
    <w:name w:val="Style4"/>
    <w:basedOn w:val="Style_5"/>
    <w:link w:val="Style_21_ch"/>
    <w:pPr>
      <w:widowControl w:val="0"/>
      <w:spacing w:line="546" w:lineRule="exact"/>
      <w:ind w:firstLine="552" w:left="0"/>
      <w:jc w:val="both"/>
    </w:pPr>
  </w:style>
  <w:style w:styleId="Style_21_ch" w:type="character">
    <w:name w:val="Style4"/>
    <w:basedOn w:val="Style_5_ch"/>
    <w:link w:val="Style_21"/>
  </w:style>
  <w:style w:styleId="Style_22" w:type="paragraph">
    <w:name w:val="Normal (Web)"/>
    <w:basedOn w:val="Style_5"/>
    <w:link w:val="Style_22_ch"/>
  </w:style>
  <w:style w:styleId="Style_22_ch" w:type="character">
    <w:name w:val="Normal (Web)"/>
    <w:basedOn w:val="Style_5_ch"/>
    <w:link w:val="Style_22"/>
  </w:style>
  <w:style w:styleId="Style_23" w:type="paragraph">
    <w:name w:val="ConsPlusNonformat"/>
    <w:link w:val="Style_23_ch"/>
    <w:pPr>
      <w:spacing w:after="0" w:line="240" w:lineRule="auto"/>
      <w:ind/>
    </w:pPr>
    <w:rPr>
      <w:rFonts w:ascii="Courier New" w:hAnsi="Courier New"/>
      <w:sz w:val="20"/>
    </w:rPr>
  </w:style>
  <w:style w:styleId="Style_23_ch" w:type="character">
    <w:name w:val="ConsPlusNonformat"/>
    <w:link w:val="Style_23"/>
    <w:rPr>
      <w:rFonts w:ascii="Courier New" w:hAnsi="Courier New"/>
      <w:sz w:val="20"/>
    </w:rPr>
  </w:style>
  <w:style w:styleId="Style_24" w:type="paragraph">
    <w:name w:val="heading 5"/>
    <w:next w:val="Style_5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3" w:type="paragraph">
    <w:name w:val="Body Text Indent"/>
    <w:basedOn w:val="Style_5"/>
    <w:link w:val="Style_3_ch"/>
    <w:pPr>
      <w:ind w:firstLine="851" w:left="0"/>
      <w:jc w:val="both"/>
    </w:pPr>
    <w:rPr>
      <w:sz w:val="28"/>
    </w:rPr>
  </w:style>
  <w:style w:styleId="Style_3_ch" w:type="character">
    <w:name w:val="Body Text Indent"/>
    <w:basedOn w:val="Style_5_ch"/>
    <w:link w:val="Style_3"/>
    <w:rPr>
      <w:sz w:val="28"/>
    </w:rPr>
  </w:style>
  <w:style w:styleId="Style_25" w:type="paragraph">
    <w:name w:val="heading 1"/>
    <w:next w:val="Style_5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6" w:type="paragraph">
    <w:name w:val="footer"/>
    <w:basedOn w:val="Style_5"/>
    <w:link w:val="Style_26_ch"/>
    <w:pPr>
      <w:tabs>
        <w:tab w:leader="none" w:pos="4677" w:val="center"/>
        <w:tab w:leader="none" w:pos="9355" w:val="right"/>
      </w:tabs>
      <w:ind/>
    </w:pPr>
  </w:style>
  <w:style w:styleId="Style_26_ch" w:type="character">
    <w:name w:val="footer"/>
    <w:basedOn w:val="Style_5_ch"/>
    <w:link w:val="Style_26"/>
  </w:style>
  <w:style w:styleId="Style_27" w:type="paragraph">
    <w:name w:val="Hyperlink"/>
    <w:basedOn w:val="Style_15"/>
    <w:link w:val="Style_27_ch"/>
    <w:rPr>
      <w:color w:val="0000FF"/>
      <w:u w:val="single"/>
    </w:rPr>
  </w:style>
  <w:style w:styleId="Style_27_ch" w:type="character">
    <w:name w:val="Hyperlink"/>
    <w:basedOn w:val="Style_15_ch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toc 9"/>
    <w:next w:val="Style_5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s_16"/>
    <w:basedOn w:val="Style_5"/>
    <w:link w:val="Style_32_ch"/>
    <w:pPr>
      <w:spacing w:afterAutospacing="on" w:beforeAutospacing="on"/>
      <w:ind/>
    </w:pPr>
  </w:style>
  <w:style w:styleId="Style_32_ch" w:type="character">
    <w:name w:val="s_16"/>
    <w:basedOn w:val="Style_5_ch"/>
    <w:link w:val="Style_32"/>
  </w:style>
  <w:style w:styleId="Style_33" w:type="paragraph">
    <w:name w:val="toc 8"/>
    <w:next w:val="Style_5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Balloon Text"/>
    <w:basedOn w:val="Style_5"/>
    <w:link w:val="Style_34_ch"/>
    <w:rPr>
      <w:rFonts w:ascii="Tahoma" w:hAnsi="Tahoma"/>
      <w:sz w:val="16"/>
    </w:rPr>
  </w:style>
  <w:style w:styleId="Style_34_ch" w:type="character">
    <w:name w:val="Balloon Text"/>
    <w:basedOn w:val="Style_5_ch"/>
    <w:link w:val="Style_34"/>
    <w:rPr>
      <w:rFonts w:ascii="Tahoma" w:hAnsi="Tahoma"/>
      <w:sz w:val="16"/>
    </w:rPr>
  </w:style>
  <w:style w:styleId="Style_35" w:type="paragraph">
    <w:name w:val="toc 5"/>
    <w:next w:val="Style_5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Subtitle"/>
    <w:next w:val="Style_5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5"/>
    <w:link w:val="Style_37_ch"/>
    <w:uiPriority w:val="10"/>
    <w:qFormat/>
    <w:pPr>
      <w:ind/>
      <w:jc w:val="center"/>
    </w:pPr>
    <w:rPr>
      <w:b w:val="1"/>
      <w:sz w:val="28"/>
    </w:rPr>
  </w:style>
  <w:style w:styleId="Style_37_ch" w:type="character">
    <w:name w:val="Title"/>
    <w:basedOn w:val="Style_5_ch"/>
    <w:link w:val="Style_37"/>
    <w:rPr>
      <w:b w:val="1"/>
      <w:sz w:val="28"/>
    </w:rPr>
  </w:style>
  <w:style w:styleId="Style_38" w:type="paragraph">
    <w:name w:val="heading 4"/>
    <w:next w:val="Style_5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2025-10-07T08:48:54Z</dcterms:modified>
</cp:coreProperties>
</file>