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C702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702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60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C70204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C70204" w:rsidRPr="00C70204" w:rsidRDefault="00C70204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204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C70204" w:rsidRPr="00C70204" w:rsidRDefault="00C70204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2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ый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C70204" w:rsidRDefault="00C70204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70204" w:rsidRPr="00C70204" w:rsidRDefault="00C70204" w:rsidP="00C702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04">
        <w:rPr>
          <w:rFonts w:ascii="Times New Roman" w:hAnsi="Times New Roman" w:cs="Times New Roman"/>
          <w:sz w:val="28"/>
          <w:szCs w:val="28"/>
        </w:rPr>
        <w:t xml:space="preserve">Быканов                                   - заместитель главы администрации города         </w:t>
      </w:r>
    </w:p>
    <w:p w:rsidR="00C70204" w:rsidRDefault="00C70204" w:rsidP="00C70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04">
        <w:rPr>
          <w:rFonts w:ascii="Times New Roman" w:hAnsi="Times New Roman" w:cs="Times New Roman"/>
          <w:sz w:val="28"/>
          <w:szCs w:val="28"/>
        </w:rPr>
        <w:t>Денис Александрович            Железногорска Курской области</w:t>
      </w:r>
    </w:p>
    <w:p w:rsidR="00C70204" w:rsidRPr="00C70204" w:rsidRDefault="00C70204" w:rsidP="00C70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70204">
            <w:pPr>
              <w:pStyle w:val="af3"/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«Совтест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Терновцов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Цыбин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C70204" w:rsidP="005907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67B9" w:rsidRPr="001D3AF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тарифам и ценам Курской области;</w:t>
            </w:r>
          </w:p>
        </w:tc>
      </w:tr>
      <w:tr w:rsidR="00C70204" w:rsidRPr="001D3AFB" w:rsidTr="00FB67B9">
        <w:trPr>
          <w:trHeight w:val="1001"/>
        </w:trPr>
        <w:tc>
          <w:tcPr>
            <w:tcW w:w="3936" w:type="dxa"/>
          </w:tcPr>
          <w:p w:rsidR="00C70204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C70204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C702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02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-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C7020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 Алексей Владимирович</w:t>
            </w:r>
          </w:p>
        </w:tc>
        <w:tc>
          <w:tcPr>
            <w:tcW w:w="5528" w:type="dxa"/>
          </w:tcPr>
          <w:p w:rsidR="00876F80" w:rsidRPr="001D3AFB" w:rsidRDefault="00876F80" w:rsidP="0059073C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C70204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Сергей Николаевич</w:t>
            </w:r>
          </w:p>
        </w:tc>
        <w:tc>
          <w:tcPr>
            <w:tcW w:w="5528" w:type="dxa"/>
          </w:tcPr>
          <w:p w:rsidR="00876F80" w:rsidRPr="001D3AFB" w:rsidRDefault="00876F80" w:rsidP="006B37DA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аместитель генерального директора – директор филиала ПАО «</w:t>
            </w:r>
            <w:r w:rsidR="006B37DA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- Центр</w:t>
            </w:r>
            <w:bookmarkStart w:id="0" w:name="_GoBack"/>
            <w:bookmarkEnd w:id="0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» - «Курскэнерго»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Гранкин Олег Юрьевич</w:t>
            </w:r>
          </w:p>
        </w:tc>
        <w:tc>
          <w:tcPr>
            <w:tcW w:w="5528" w:type="dxa"/>
          </w:tcPr>
          <w:p w:rsidR="00876F80" w:rsidRPr="001D3AFB" w:rsidRDefault="00C70204" w:rsidP="007E522B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а-директор ОП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«КурскАтомЭнергоСбыт» 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АтомЭнергоСбыт»</w:t>
            </w:r>
          </w:p>
        </w:tc>
      </w:tr>
    </w:tbl>
    <w:p w:rsidR="003B6FC8" w:rsidRPr="001D3AFB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692" w:rsidRDefault="00950194" w:rsidP="009501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</w:p>
    <w:p w:rsidR="000B2692" w:rsidRDefault="000B2692" w:rsidP="009501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6F80" w:rsidRPr="00CB2FBC" w:rsidRDefault="000B2692" w:rsidP="009501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</w:t>
      </w:r>
      <w:r w:rsidR="009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76F80" w:rsidRPr="00CB2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1. </w:t>
      </w:r>
      <w:r w:rsidR="00950194" w:rsidRPr="00950194">
        <w:rPr>
          <w:rStyle w:val="11"/>
          <w:rFonts w:eastAsiaTheme="minorHAnsi"/>
          <w:sz w:val="28"/>
          <w:szCs w:val="28"/>
        </w:rPr>
        <w:tab/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C70204">
        <w:rPr>
          <w:rStyle w:val="11"/>
          <w:rFonts w:eastAsiaTheme="minorHAnsi"/>
          <w:sz w:val="28"/>
          <w:szCs w:val="28"/>
        </w:rPr>
        <w:t>3</w:t>
      </w:r>
      <w:r w:rsidR="00950194" w:rsidRPr="00950194">
        <w:rPr>
          <w:rStyle w:val="11"/>
          <w:rFonts w:eastAsiaTheme="minorHAnsi"/>
          <w:sz w:val="28"/>
          <w:szCs w:val="28"/>
        </w:rPr>
        <w:t xml:space="preserve"> год.</w:t>
      </w:r>
    </w:p>
    <w:p w:rsidR="00876F80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r w:rsidR="00C7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1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950194" w:rsidRP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C7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первому вопросу заслушали Куч Ю.Ю. – </w:t>
      </w:r>
      <w:r w:rsidR="00C7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заместителя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председателя комитета по тарифам и ценам Курской области.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Докладчиком сообщено следующее. 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Экспертной группой «центр компетенций» Совета рассмотрены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й» Курской области на 202</w:t>
      </w:r>
      <w:r w:rsidR="00C7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(минимальные и максимальные) уровни тарифов на услуги по передаче электрической энергии для «прочих потребителей» на 1-е полугодие 2023 г. в одноставочном варианте тарифа и ставке (тарифе) на содержание электрических сетей комитетом по тарифам и ценам Курской области предлагаются на уровне утвержденных тарифов на 2-е полугодие 2022 г.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Предельный минимальный уровень тарифов на услуги по передаче электрической энергии для «прочих потребителей»  на 1-е полугодие 2023 г. по ставке (тарифе) технологического расхода (потерь) электрической энергии на передачу по сетям предлагается со снижением на 15%, а максимальный – со снижением на 5% от утвержденных тарифов на 2-е полугодие 2022 г. Данное снижение связано с переходом филиала ПАО «Россети Центр»-«Курскэнерго» на новый долгосрочный период регулирования и значительным снижением в 2023 году норматива и объема технологического расхода (потерь) электрической энергии по сетям филиала с 487,1 млн. кВт.ч., утвержденных на 2022 год, до 417,1 млн. кВт.ч. Общее снижение технологического расхода (потерь) электрической энергии в 2023 году по сетям всех территориальных сетевых организаций на территории Курской области составляет 9,5%.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предложениях предельных минимальных уровней тарифов на услуги по передаче электрической энергии для «прочих потребителей» с 01.07.2023 г. предусмотрены следующие роста единых (котловых) тарифов в одноставочном варианте: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НН и СН2 с ростом 106,6% к утвержденным тарифам на 2-е полугодие 2021 г., в связи с тем, что на данных уровнях напряжения тарифы на услуги по передаче электрической энергии на территории Курской области одни из самых высоких в ЦФО РФ;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СН1 – 108,1%;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113,2% в связи с тем, что на данном уровне напряжения тарифы на услуги по передаче электрической энергии на территории Курской области одни из самых низких в ЦФО РФ, а также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предложениях предельных минимальных уровней тарифов на услуги по передаче электрической энергии для «прочих потребителей» с 01.07.2023 г. предусмотрены следующие роста единых (котловых) тарифов к утвержденным тарифам на 2-е полугодие 2021 г. по ставке (тарифе) на содержание электрических сетей: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НН с ростом 109,9%;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СН2 с ростом 109,0%;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СН1 – 111,9%;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116,8%.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высокий рост ставки на содержание электрических сетей связан с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 и дополнительным учетом расходов ТСО на оснащение интеллектуальными приборами учета электрической энергии.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предложениях предельных минимальных уровней тарифов на услуги по передаче электрической энергии для «прочих потребителей» с 01.07.2023 г. предусмотрено снижение ставки технологического расхода (потерь) электрической энергии на передачу по сетям к утвержденным тарифам на 2-е </w:t>
      </w: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полугодие 2021 г. на 13,3%. Снижение ставки технологического расхода (потерь) электрической энергии на передачу по сетям обусловлен снижением технологического расхода (потерь) электрической энергии в 2023 году по сетям всех территориальных сетевых организаций на территории Курской области.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этом, исходя из данных предложенных предельных минимальных уровней тарифов на услуги по передаче электрической энергии, в среднем по всем уровням напряжения рост тарифов на услуги по передаче электрической энергии на территории Курской области для «прочих потребителей» в одноставочном варианте во 2-м полугодии 2023 года составит 107,8% в соответствии с Основными параметрами сценарных условий прогноза социально-экономического развития Российской Федерации на 2023 год и на плановый период 2024 и 2025 годов при консервативном варианте, разработанными Минэкономразвития России в мае 2022 года.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предложениях предельных максимальных уровней тарифов на услуги по передаче электрической энергии для «прочих потребителей» с 01.07.2023 г. предусмотрены следующие роста единых (котловых) тарифов в одноставочном варианте: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НН и СН2 с ростом 107,7% к утвержденным тарифам на 2-е полугодие 2021 г., в связи с тем, что на данных уровнях напряжения тарифы на услуги по передаче электрической энергии на территории Курской области одни из самых высоких в ЦФО РФ;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СН1 – 109,0% в соответствии с Основными параметрами сценарных условий прогноза социально-экономического развития Российской Федерации на 2023 год и на плановый период 2024 и 2025 годов при базовом варианте, разработанными Минэкономразвития России в мае 2022 года;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114,9% в связи с тем, что на данном уровне напряжения тарифы на услуги по передаче электрической энергии на территории Курской области одни из самых низких в ЦФО РФ, а также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предложениях предельных максимальных уровней тарифов на услуги по передаче электрической энергии для «прочих потребителей» с 01.07.2023 г. предусмотрены следующие роста единых (котловых) тарифов к утвержденным тарифам на 2-е полугодие 2021 г. по ставке (тарифе) на содержание электрических сетей: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НН и СН2 с ростом 109,0%;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СН1 – 112,0%;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уровне напряжения ВН – 118,0%.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высокий рост ставки на содержание электрических сетей связан с необходимостью компенсации выпадающих доходов ТСО Курской области, связанных с прекращением действия договоров «последней мили» на территории Курской области с 01.07.2017 г. и дополнительным учетом расходов ТСО на оснащение интеллектуальными приборами учета электрической энергии.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предложениях предельных максимальных уровней тарифов на услуги по передаче электрической энергии для «прочих потребителей» с 01.07.2023 г. предусмотрено снижение ставки технологического расхода (потерь) электрической энергии на передачу по сетям к утвержденным тарифам на 2-е полугодие 2021 г. на 4,0%. Снижение ставки технологического расхода (потерь) электрической энергии на передачу по сетям обусловлен снижением технологического расхода (потерь) электрической энергии в 2023 году по сетям всех территориальных сетевых организаций на территории Курской области.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этом, исходя из данных предложенных предельных максимальных уровней тарифов на услуги по передаче электрической энергии, в среднем по всем уровням напряжения рост тарифов на услуги по передаче электрической энергии на территории Курской области для «прочих потребителей» в одноставочном варианте во 2-м полугодии 2023 года составит 109,0% в соответствии с Основными параметрами сценарных условий прогноза социально-экономического развития Российской Федерации на 2023 год и на плановый период 2024 и 2025 годов при базовом варианте, разработанными Минэкономразвития России в мае 2022 года.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предложения предельных уровней тарифов на услуги по передаче электрической энергии вызваны необходимостью выравнивания тарифов как между уровнями напряжения на территории Курской области, так и в сравнении с другими регионами ЦФО.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минимальные уровни тарифов на услуги по передаче электрической энергии для населения и приравненным к ним категориям потребителей на 1-е полугодие 2023 г. комитетом по тарифам и ценам Курской области предлагаются на уровне утвержденных тарифов на услуги по передаче для городского населения, проживающего в домах, оборудованных в установленном порядке электроплитами (электроотопительными установками) и сельского населения на 2-е полугодие 2022 г. в размере 0,94518 руб./МВт.ч., на 2-е полугодие 2022 г. – 1,08696 руб./МВт.ч., с ростом 115,0%.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максимальные уровни тарифов на услуги по передаче электрической энергии для населения и приравненным к ним категориям потребителей на 1-е полугодие 2023 г. комитетом по тарифам и ценам Курской области предлагаются в размере 1,82967 руб./МВт.ч., на 2-е полугодие 2023 г. – 2,10413 руб./МВт.ч., с ростом 126,5% к утвержденным тарифам на 2-е полугодие 2022 г.</w:t>
      </w:r>
    </w:p>
    <w:p w:rsidR="00525FA0" w:rsidRPr="00525FA0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пунктом 11(1) Основ ценообразования цены (тарифы) на услуги по передаче электрической энергии, поставляемой населению и приравненным к нему категориям потребителей, в первом полугодии очередного годового периода регулирования могут отличаться от соответствующих цен (тарифов)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мощности. Увеличение предельного максимального тарифа на услуги по передаче электрической энергии для населения Курской области в 1-м полугодии 2023 года, по сравнению с </w:t>
      </w: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утвержденной ценой на 2-е полугодие 2022 года, связано с изменением соотношения между объемами электрической энергии и величинами мощности, учтенными в Сводном прогнозном балансе электрической энергии (мощности) на 2023 год, в результате снижения мощности.</w:t>
      </w:r>
    </w:p>
    <w:p w:rsidR="00950194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5F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предельного максимального тарифа на услуги по передаче электрической энергии для населения Курской области во 2-м полугодии 2023 года, по сравнению с утвержденной ценой на 2-е полугодие 2022 года, также связано со снижением мощности по населению Курской области.</w:t>
      </w:r>
    </w:p>
    <w:p w:rsidR="00525FA0" w:rsidRPr="00950194" w:rsidRDefault="00525FA0" w:rsidP="00525F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F80" w:rsidRDefault="003604B0" w:rsidP="00950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r w:rsidR="00525FA0">
        <w:rPr>
          <w:rFonts w:ascii="Times New Roman" w:hAnsi="Times New Roman" w:cs="Times New Roman"/>
          <w:sz w:val="28"/>
          <w:szCs w:val="28"/>
        </w:rPr>
        <w:t xml:space="preserve">Вишняков А.Н., Быканов Д.А. </w:t>
      </w:r>
      <w:r w:rsidRPr="003604B0">
        <w:rPr>
          <w:rFonts w:ascii="Times New Roman" w:hAnsi="Times New Roman" w:cs="Times New Roman"/>
          <w:sz w:val="28"/>
          <w:szCs w:val="28"/>
        </w:rPr>
        <w:t>Белашов О.А., Водопьянов Д.С., Лазарев А.И., Малахов О.И</w:t>
      </w:r>
      <w:r w:rsidR="00721289">
        <w:rPr>
          <w:rFonts w:ascii="Times New Roman" w:hAnsi="Times New Roman" w:cs="Times New Roman"/>
          <w:sz w:val="28"/>
          <w:szCs w:val="28"/>
        </w:rPr>
        <w:t>., Марков И.В., Терновцев А.В.,</w:t>
      </w:r>
      <w:r w:rsidRPr="003604B0">
        <w:rPr>
          <w:rFonts w:ascii="Times New Roman" w:hAnsi="Times New Roman" w:cs="Times New Roman"/>
          <w:sz w:val="28"/>
          <w:szCs w:val="28"/>
        </w:rPr>
        <w:t xml:space="preserve"> Цыбин  Н.А., Шевченко Н.С.</w:t>
      </w:r>
    </w:p>
    <w:p w:rsidR="003604B0" w:rsidRPr="00CB2FBC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F80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Комитету по тарифам и ценам Курской области в рамках действующего законодательства данн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525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направить в Федеральную антимонопольную службу России на рассмотрени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194" w:rsidRPr="00CB2FBC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B6FC8" w:rsidRPr="00FB67B9" w:rsidRDefault="003B6FC8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3B6FC8" w:rsidRPr="00FB67B9" w:rsidSect="00C70204">
      <w:headerReference w:type="default" r:id="rId8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61" w:rsidRDefault="00226061" w:rsidP="006B1FD8">
      <w:pPr>
        <w:spacing w:after="0" w:line="240" w:lineRule="auto"/>
      </w:pPr>
      <w:r>
        <w:separator/>
      </w:r>
    </w:p>
  </w:endnote>
  <w:endnote w:type="continuationSeparator" w:id="0">
    <w:p w:rsidR="00226061" w:rsidRDefault="00226061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61" w:rsidRDefault="00226061" w:rsidP="006B1FD8">
      <w:pPr>
        <w:spacing w:after="0" w:line="240" w:lineRule="auto"/>
      </w:pPr>
      <w:r>
        <w:separator/>
      </w:r>
    </w:p>
  </w:footnote>
  <w:footnote w:type="continuationSeparator" w:id="0">
    <w:p w:rsidR="00226061" w:rsidRDefault="00226061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826D1"/>
    <w:rsid w:val="00090F4A"/>
    <w:rsid w:val="000A23F9"/>
    <w:rsid w:val="000A2D35"/>
    <w:rsid w:val="000A326C"/>
    <w:rsid w:val="000A371E"/>
    <w:rsid w:val="000A6479"/>
    <w:rsid w:val="000B04A6"/>
    <w:rsid w:val="000B2692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1D12"/>
    <w:rsid w:val="001D3AFB"/>
    <w:rsid w:val="001E1253"/>
    <w:rsid w:val="001E2675"/>
    <w:rsid w:val="001E4608"/>
    <w:rsid w:val="00203BBE"/>
    <w:rsid w:val="002040DD"/>
    <w:rsid w:val="002164BB"/>
    <w:rsid w:val="002243ED"/>
    <w:rsid w:val="00226061"/>
    <w:rsid w:val="00227D66"/>
    <w:rsid w:val="00230B63"/>
    <w:rsid w:val="0024329F"/>
    <w:rsid w:val="00243A5F"/>
    <w:rsid w:val="00245DE2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57B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5126DD"/>
    <w:rsid w:val="0051715C"/>
    <w:rsid w:val="00523ED4"/>
    <w:rsid w:val="0052554C"/>
    <w:rsid w:val="00525FA0"/>
    <w:rsid w:val="00546FA0"/>
    <w:rsid w:val="005527B9"/>
    <w:rsid w:val="00554439"/>
    <w:rsid w:val="00555E5A"/>
    <w:rsid w:val="00571288"/>
    <w:rsid w:val="00574A56"/>
    <w:rsid w:val="0059073C"/>
    <w:rsid w:val="00593B1B"/>
    <w:rsid w:val="005A4811"/>
    <w:rsid w:val="005A6D10"/>
    <w:rsid w:val="005A7B65"/>
    <w:rsid w:val="005B3211"/>
    <w:rsid w:val="005B744E"/>
    <w:rsid w:val="005C513E"/>
    <w:rsid w:val="005D0AA5"/>
    <w:rsid w:val="005E3DEE"/>
    <w:rsid w:val="005F4441"/>
    <w:rsid w:val="00601243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7DA"/>
    <w:rsid w:val="006B3C5C"/>
    <w:rsid w:val="006E5BCB"/>
    <w:rsid w:val="006F562D"/>
    <w:rsid w:val="006F6E69"/>
    <w:rsid w:val="007078F4"/>
    <w:rsid w:val="00712385"/>
    <w:rsid w:val="00721289"/>
    <w:rsid w:val="0074427A"/>
    <w:rsid w:val="00746E44"/>
    <w:rsid w:val="00750B67"/>
    <w:rsid w:val="007528A4"/>
    <w:rsid w:val="00752BB7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7E522B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0194"/>
    <w:rsid w:val="00951964"/>
    <w:rsid w:val="00956E5E"/>
    <w:rsid w:val="00965A8E"/>
    <w:rsid w:val="009701B8"/>
    <w:rsid w:val="0097630C"/>
    <w:rsid w:val="009825A7"/>
    <w:rsid w:val="00982893"/>
    <w:rsid w:val="0099089B"/>
    <w:rsid w:val="00992A89"/>
    <w:rsid w:val="009A7E9D"/>
    <w:rsid w:val="009B35FF"/>
    <w:rsid w:val="009C3470"/>
    <w:rsid w:val="009C40A5"/>
    <w:rsid w:val="009D3146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17F8"/>
    <w:rsid w:val="00B04D5E"/>
    <w:rsid w:val="00B0602F"/>
    <w:rsid w:val="00B2306F"/>
    <w:rsid w:val="00B27428"/>
    <w:rsid w:val="00B34C03"/>
    <w:rsid w:val="00B41EAA"/>
    <w:rsid w:val="00B54AC9"/>
    <w:rsid w:val="00B7012D"/>
    <w:rsid w:val="00B72CF4"/>
    <w:rsid w:val="00B7544F"/>
    <w:rsid w:val="00B76EB9"/>
    <w:rsid w:val="00B8050B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0204"/>
    <w:rsid w:val="00C757D0"/>
    <w:rsid w:val="00C85BEB"/>
    <w:rsid w:val="00CA0FE1"/>
    <w:rsid w:val="00CA146E"/>
    <w:rsid w:val="00CA2572"/>
    <w:rsid w:val="00CB2E80"/>
    <w:rsid w:val="00CB2FBC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40655"/>
    <w:rsid w:val="00D40F0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5AB"/>
    <w:rsid w:val="00EC0BF4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A65"/>
  <w15:docId w15:val="{897EC8B5-D0F1-48CE-9573-4646388F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490C-6A36-4F82-8961-3ECCB777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18</cp:revision>
  <cp:lastPrinted>2022-12-13T14:19:00Z</cp:lastPrinted>
  <dcterms:created xsi:type="dcterms:W3CDTF">2021-01-28T17:26:00Z</dcterms:created>
  <dcterms:modified xsi:type="dcterms:W3CDTF">2022-12-13T14:21:00Z</dcterms:modified>
</cp:coreProperties>
</file>