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firstLine="540"/>
        <w:jc w:val="center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Пояснительная записка</w:t>
      </w:r>
      <w:r>
        <w:rPr>
          <w:rFonts w:ascii="PT Astra Serif" w:hAnsi="PT Astra Serif" w:cs="PT Astra Serif"/>
          <w:sz w:val="28"/>
        </w:rPr>
      </w:r>
    </w:p>
    <w:p>
      <w:pPr>
        <w:ind w:left="0" w:firstLine="540"/>
        <w:jc w:val="center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к проекту постановления </w:t>
      </w:r>
      <w:r>
        <w:rPr>
          <w:rFonts w:ascii="PT Astra Serif" w:hAnsi="PT Astra Serif" w:eastAsia="PT Astra Serif" w:cs="PT Astra Serif"/>
          <w:sz w:val="28"/>
        </w:rPr>
        <w:t xml:space="preserve">Правительства</w:t>
      </w:r>
      <w:r>
        <w:rPr>
          <w:rFonts w:ascii="PT Astra Serif" w:hAnsi="PT Astra Serif" w:eastAsia="PT Astra Serif" w:cs="PT Astra Serif"/>
          <w:sz w:val="28"/>
        </w:rPr>
        <w:t xml:space="preserve"> </w:t>
      </w:r>
      <w:r>
        <w:rPr>
          <w:rFonts w:ascii="PT Astra Serif" w:hAnsi="PT Astra Serif" w:eastAsia="PT Astra Serif" w:cs="PT Astra Serif"/>
          <w:sz w:val="28"/>
        </w:rPr>
        <w:t xml:space="preserve"> Курской области</w:t>
      </w:r>
      <w:r>
        <w:rPr>
          <w:rFonts w:ascii="PT Astra Serif" w:hAnsi="PT Astra Serif" w:cs="PT Astra Serif"/>
          <w:sz w:val="28"/>
        </w:rPr>
      </w:r>
    </w:p>
    <w:p>
      <w:pPr>
        <w:ind w:left="0" w:firstLine="540"/>
        <w:jc w:val="center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«О внесении изменений в государственную программу Курской области «Создание условий для эффективного исполнения полномочий в сфере юстиции»</w:t>
      </w:r>
      <w:r>
        <w:rPr>
          <w:rFonts w:ascii="PT Astra Serif" w:hAnsi="PT Astra Serif" w:cs="PT Astra Serif"/>
          <w:sz w:val="28"/>
        </w:rPr>
      </w:r>
    </w:p>
    <w:p>
      <w:pPr>
        <w:ind w:left="0" w:firstLine="540"/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</w:r>
      <w:r>
        <w:rPr>
          <w:rFonts w:ascii="PT Astra Serif" w:hAnsi="PT Astra Serif" w:cs="PT Astra Serif"/>
          <w:sz w:val="28"/>
        </w:rPr>
      </w:r>
    </w:p>
    <w:p>
      <w:pPr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Внесение изменений в Государственную программу Курской области «Создание условий для эффективного исполнения полномочий в сфере юстиции» обусловлено необходимостью приведения финансовой составляющей государственной программы на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 и на плановый период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годов к объемам финансирования определенным Законом Курской области от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19.12.2022  № 145-ЗКО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«Об областном бюджете на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год и на плановый период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и 202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5 годов» в действующей редакции.</w:t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tabs>
          <w:tab w:val="left" w:pos="851" w:leader="none"/>
        </w:tabs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ab/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 основании Приказа Минюста России от 27.02.2023 № 31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«Об утверждении значений целевых показателей эффективности деятельности органов государственной власти субъектов Российской Федерации и администрации г. Байконура по осуществлению пер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еданных им полномочий Российской Федерации на государственную регистрацию актов гражданского состояния на 2023 год», изменены показатели  подпрограммы 1 «Количество зарегистрированных актов гражданского состояния» и «количество юридически значимых действий» установленные на 2023 год.</w:t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подпрограмме 3, в связи с дистанционным обучением с 13 до 18 увеличивается плановое значение показателя количества мировых судей получивших дополнительное профессиональное образование в 2023 году.</w:t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Уточнение показателей (индикаторов) государственной программы в 2022- 2023 годах не потребует выделения дополнительного финансирования.</w:t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проекте отсутствуют нормы регулирования, затрагивающие вопросы предпринимательской и инвестиционной деятельности и требующие проведения процедуры оценки регулирующего воздействия.</w:t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 результатам 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нализ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событий 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социально-экономических и общественно значимых последствий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в результате принятия правового акта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прогнозируются нейтральные последствия.</w:t>
      </w:r>
      <w:r>
        <w:rPr>
          <w:rFonts w:ascii="PT Astra Serif" w:hAnsi="PT Astra Serif" w:cs="PT Astra Serif"/>
          <w:sz w:val="28"/>
          <w:szCs w:val="28"/>
        </w:rPr>
      </w:r>
    </w:p>
    <w:p>
      <w:pPr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</w:r>
      <w:r>
        <w:rPr>
          <w:rFonts w:ascii="PT Astra Serif" w:hAnsi="PT Astra Serif" w:cs="PT Astra Serif"/>
          <w:sz w:val="28"/>
        </w:rPr>
      </w:r>
    </w:p>
    <w:p>
      <w:pPr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Н</w:t>
      </w:r>
      <w:r>
        <w:rPr>
          <w:rFonts w:ascii="PT Astra Serif" w:hAnsi="PT Astra Serif" w:eastAsia="PT Astra Serif" w:cs="PT Astra Serif"/>
          <w:sz w:val="28"/>
        </w:rPr>
        <w:t xml:space="preserve">ачальник управления</w:t>
      </w:r>
      <w:r>
        <w:rPr>
          <w:rFonts w:ascii="PT Astra Serif" w:hAnsi="PT Astra Serif" w:cs="PT Astra Serif"/>
          <w:sz w:val="28"/>
        </w:rPr>
      </w:r>
    </w:p>
    <w:p>
      <w:pPr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по обеспечению </w:t>
      </w:r>
      <w:r>
        <w:rPr>
          <w:rFonts w:ascii="PT Astra Serif" w:hAnsi="PT Astra Serif" w:eastAsia="PT Astra Serif" w:cs="PT Astra Serif"/>
          <w:sz w:val="28"/>
        </w:rPr>
        <w:t xml:space="preserve">деятельности </w:t>
      </w:r>
      <w:r>
        <w:rPr>
          <w:rFonts w:ascii="PT Astra Serif" w:hAnsi="PT Astra Serif" w:cs="PT Astra Serif"/>
          <w:sz w:val="28"/>
        </w:rPr>
      </w:r>
    </w:p>
    <w:p>
      <w:pPr>
        <w:jc w:val="both"/>
        <w:rPr>
          <w:rFonts w:ascii="PT Astra Serif" w:hAnsi="PT Astra Serif" w:cs="PT Astra Serif"/>
          <w:sz w:val="28"/>
        </w:rPr>
      </w:pPr>
      <w:r>
        <w:rPr>
          <w:rFonts w:ascii="PT Astra Serif" w:hAnsi="PT Astra Serif" w:eastAsia="PT Astra Serif" w:cs="PT Astra Serif"/>
          <w:sz w:val="28"/>
        </w:rPr>
        <w:t xml:space="preserve">мировых судей</w:t>
      </w:r>
      <w:r>
        <w:rPr>
          <w:rFonts w:ascii="PT Astra Serif" w:hAnsi="PT Astra Serif" w:eastAsia="PT Astra Serif" w:cs="PT Astra Serif"/>
          <w:sz w:val="28"/>
        </w:rPr>
        <w:t xml:space="preserve"> Курской области</w:t>
      </w:r>
      <w:r>
        <w:rPr>
          <w:rFonts w:ascii="PT Astra Serif" w:hAnsi="PT Astra Serif" w:eastAsia="PT Astra Serif" w:cs="PT Astra Serif"/>
          <w:sz w:val="28"/>
        </w:rPr>
        <w:tab/>
      </w:r>
      <w:r>
        <w:rPr>
          <w:rFonts w:ascii="PT Astra Serif" w:hAnsi="PT Astra Serif" w:eastAsia="PT Astra Serif" w:cs="PT Astra Serif"/>
          <w:sz w:val="28"/>
        </w:rPr>
        <w:tab/>
      </w:r>
      <w:r>
        <w:rPr>
          <w:rFonts w:ascii="PT Astra Serif" w:hAnsi="PT Astra Serif" w:eastAsia="PT Astra Serif" w:cs="PT Astra Serif"/>
          <w:sz w:val="28"/>
        </w:rPr>
        <w:tab/>
      </w:r>
      <w:r>
        <w:rPr>
          <w:rFonts w:ascii="PT Astra Serif" w:hAnsi="PT Astra Serif" w:eastAsia="PT Astra Serif" w:cs="PT Astra Serif"/>
          <w:sz w:val="28"/>
        </w:rPr>
        <w:tab/>
      </w:r>
      <w:r>
        <w:rPr>
          <w:rFonts w:ascii="PT Astra Serif" w:hAnsi="PT Astra Serif" w:eastAsia="PT Astra Serif" w:cs="PT Astra Serif"/>
          <w:sz w:val="28"/>
        </w:rPr>
        <w:tab/>
      </w:r>
      <w:r>
        <w:rPr>
          <w:rFonts w:ascii="PT Astra Serif" w:hAnsi="PT Astra Serif" w:eastAsia="PT Astra Serif" w:cs="PT Astra Serif"/>
          <w:sz w:val="28"/>
        </w:rPr>
        <w:t xml:space="preserve">        </w:t>
      </w:r>
      <w:r>
        <w:rPr>
          <w:rFonts w:ascii="PT Astra Serif" w:hAnsi="PT Astra Serif" w:eastAsia="PT Astra Serif" w:cs="PT Astra Serif"/>
          <w:sz w:val="28"/>
        </w:rPr>
        <w:t xml:space="preserve">        </w:t>
      </w:r>
      <w:r>
        <w:rPr>
          <w:rFonts w:ascii="PT Astra Serif" w:hAnsi="PT Astra Serif" w:eastAsia="PT Astra Serif" w:cs="PT Astra Serif"/>
          <w:sz w:val="28"/>
        </w:rPr>
        <w:t xml:space="preserve">И.И.</w:t>
      </w:r>
      <w:r>
        <w:rPr>
          <w:rFonts w:ascii="PT Astra Serif" w:hAnsi="PT Astra Serif" w:eastAsia="PT Astra Serif" w:cs="PT Astra Serif"/>
          <w:sz w:val="28"/>
        </w:rPr>
        <w:t xml:space="preserve"> </w:t>
      </w:r>
      <w:r>
        <w:rPr>
          <w:rFonts w:ascii="PT Astra Serif" w:hAnsi="PT Astra Serif" w:eastAsia="PT Astra Serif" w:cs="PT Astra Serif"/>
          <w:sz w:val="28"/>
        </w:rPr>
        <w:t xml:space="preserve">Нисонов</w:t>
      </w:r>
      <w:r>
        <w:rPr>
          <w:rFonts w:ascii="PT Astra Serif" w:hAnsi="PT Astra Serif" w:cs="PT Astra Serif"/>
          <w:sz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XO Thames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Style w:val="677"/>
      </w:rPr>
      <w:fldChar w:fldCharType="begin"/>
    </w:r>
    <w:r>
      <w:rPr>
        <w:rStyle w:val="677"/>
      </w:rPr>
      <w:instrText xml:space="preserve">PAGE </w:instrText>
    </w:r>
    <w:r>
      <w:rPr>
        <w:rStyle w:val="677"/>
      </w:rPr>
      <w:fldChar w:fldCharType="separate"/>
    </w:r>
    <w:r>
      <w:rPr>
        <w:rStyle w:val="677"/>
      </w:rPr>
      <w:fldChar w:fldCharType="end"/>
    </w:r>
    <w:r/>
  </w:p>
  <w:p>
    <w:pPr>
      <w:pStyle w:val="6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9"/>
    <w:link w:val="66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9"/>
    <w:link w:val="68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9"/>
    <w:link w:val="65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9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59"/>
    <w:link w:val="657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5"/>
    <w:next w:val="6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5"/>
    <w:next w:val="6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5"/>
    <w:next w:val="6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5"/>
    <w:next w:val="6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59"/>
    <w:link w:val="683"/>
    <w:uiPriority w:val="10"/>
    <w:rPr>
      <w:sz w:val="48"/>
      <w:szCs w:val="48"/>
    </w:rPr>
  </w:style>
  <w:style w:type="character" w:styleId="37">
    <w:name w:val="Subtitle Char"/>
    <w:basedOn w:val="659"/>
    <w:link w:val="681"/>
    <w:uiPriority w:val="11"/>
    <w:rPr>
      <w:sz w:val="24"/>
      <w:szCs w:val="24"/>
    </w:rPr>
  </w:style>
  <w:style w:type="paragraph" w:styleId="38">
    <w:name w:val="Quote"/>
    <w:basedOn w:val="635"/>
    <w:next w:val="6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5"/>
    <w:next w:val="6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9"/>
    <w:link w:val="679"/>
    <w:uiPriority w:val="99"/>
  </w:style>
  <w:style w:type="paragraph" w:styleId="44">
    <w:name w:val="Footer"/>
    <w:basedOn w:val="63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9"/>
    <w:link w:val="44"/>
    <w:uiPriority w:val="99"/>
  </w:style>
  <w:style w:type="paragraph" w:styleId="46">
    <w:name w:val="Caption"/>
    <w:basedOn w:val="635"/>
    <w:next w:val="6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9"/>
    <w:uiPriority w:val="99"/>
    <w:unhideWhenUsed/>
    <w:rPr>
      <w:vertAlign w:val="superscript"/>
    </w:rPr>
  </w:style>
  <w:style w:type="paragraph" w:styleId="178">
    <w:name w:val="endnote text"/>
    <w:basedOn w:val="6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9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35"/>
    <w:next w:val="635"/>
    <w:uiPriority w:val="99"/>
    <w:unhideWhenUsed/>
    <w:pPr>
      <w:spacing w:after="0" w:afterAutospacing="0"/>
    </w:pPr>
  </w:style>
  <w:style w:type="paragraph" w:styleId="634" w:default="1">
    <w:name w:val="Normal"/>
    <w:link w:val="635"/>
    <w:uiPriority w:val="0"/>
    <w:qFormat/>
    <w:rPr>
      <w:sz w:val="24"/>
    </w:rPr>
  </w:style>
  <w:style w:type="character" w:styleId="635" w:default="1">
    <w:name w:val="Normal"/>
    <w:link w:val="634"/>
    <w:rPr>
      <w:sz w:val="24"/>
    </w:rPr>
  </w:style>
  <w:style w:type="paragraph" w:styleId="636">
    <w:name w:val="toc 2"/>
    <w:next w:val="634"/>
    <w:link w:val="637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37">
    <w:name w:val="toc 2"/>
    <w:link w:val="636"/>
    <w:rPr>
      <w:rFonts w:ascii="XO Thames" w:hAnsi="XO Thames"/>
      <w:sz w:val="28"/>
    </w:rPr>
  </w:style>
  <w:style w:type="paragraph" w:styleId="638">
    <w:name w:val="toc 4"/>
    <w:next w:val="634"/>
    <w:link w:val="639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39">
    <w:name w:val="toc 4"/>
    <w:link w:val="638"/>
    <w:rPr>
      <w:rFonts w:ascii="XO Thames" w:hAnsi="XO Thames"/>
      <w:sz w:val="28"/>
    </w:rPr>
  </w:style>
  <w:style w:type="paragraph" w:styleId="640">
    <w:name w:val="ConsPlusNormal"/>
    <w:link w:val="641"/>
    <w:rPr>
      <w:sz w:val="28"/>
    </w:rPr>
  </w:style>
  <w:style w:type="character" w:styleId="641">
    <w:name w:val="ConsPlusNormal"/>
    <w:link w:val="640"/>
    <w:rPr>
      <w:sz w:val="28"/>
    </w:rPr>
  </w:style>
  <w:style w:type="paragraph" w:styleId="642">
    <w:name w:val="toc 6"/>
    <w:next w:val="634"/>
    <w:link w:val="643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43">
    <w:name w:val="toc 6"/>
    <w:link w:val="642"/>
    <w:rPr>
      <w:rFonts w:ascii="XO Thames" w:hAnsi="XO Thames"/>
      <w:sz w:val="28"/>
    </w:rPr>
  </w:style>
  <w:style w:type="paragraph" w:styleId="644">
    <w:name w:val="toc 7"/>
    <w:next w:val="634"/>
    <w:link w:val="645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45">
    <w:name w:val="toc 7"/>
    <w:link w:val="644"/>
    <w:rPr>
      <w:rFonts w:ascii="XO Thames" w:hAnsi="XO Thames"/>
      <w:sz w:val="28"/>
    </w:rPr>
  </w:style>
  <w:style w:type="paragraph" w:styleId="646">
    <w:name w:val="highlighted1"/>
    <w:link w:val="647"/>
    <w:rPr>
      <w:shd w:val="clear" w:color="auto" w:fill="f8d200"/>
    </w:rPr>
  </w:style>
  <w:style w:type="character" w:styleId="647">
    <w:name w:val="highlighted1"/>
    <w:link w:val="646"/>
    <w:rPr>
      <w:shd w:val="clear" w:color="auto" w:fill="f8d200"/>
    </w:rPr>
  </w:style>
  <w:style w:type="paragraph" w:styleId="648">
    <w:name w:val="Endnote"/>
    <w:link w:val="649"/>
    <w:pPr>
      <w:ind w:left="0" w:firstLine="851"/>
      <w:jc w:val="both"/>
    </w:pPr>
    <w:rPr>
      <w:rFonts w:ascii="XO Thames" w:hAnsi="XO Thames"/>
      <w:sz w:val="22"/>
    </w:rPr>
  </w:style>
  <w:style w:type="character" w:styleId="649">
    <w:name w:val="Endnote"/>
    <w:link w:val="648"/>
    <w:rPr>
      <w:rFonts w:ascii="XO Thames" w:hAnsi="XO Thames"/>
      <w:sz w:val="22"/>
    </w:rPr>
  </w:style>
  <w:style w:type="paragraph" w:styleId="650">
    <w:name w:val="Heading 3"/>
    <w:next w:val="634"/>
    <w:link w:val="651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51">
    <w:name w:val="Heading 3"/>
    <w:link w:val="650"/>
    <w:rPr>
      <w:rFonts w:ascii="XO Thames" w:hAnsi="XO Thames"/>
      <w:b/>
      <w:sz w:val="26"/>
    </w:rPr>
  </w:style>
  <w:style w:type="paragraph" w:styleId="652">
    <w:name w:val="toc 3"/>
    <w:next w:val="634"/>
    <w:link w:val="6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53">
    <w:name w:val="toc 3"/>
    <w:link w:val="652"/>
    <w:rPr>
      <w:rFonts w:ascii="XO Thames" w:hAnsi="XO Thames"/>
      <w:sz w:val="28"/>
    </w:rPr>
  </w:style>
  <w:style w:type="paragraph" w:styleId="654">
    <w:name w:val="apple-converted-space"/>
    <w:link w:val="655"/>
  </w:style>
  <w:style w:type="character" w:styleId="655">
    <w:name w:val="apple-converted-space"/>
    <w:link w:val="654"/>
  </w:style>
  <w:style w:type="paragraph" w:styleId="656">
    <w:name w:val="Heading 5"/>
    <w:next w:val="634"/>
    <w:link w:val="657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57">
    <w:name w:val="Heading 5"/>
    <w:link w:val="656"/>
    <w:rPr>
      <w:rFonts w:ascii="XO Thames" w:hAnsi="XO Thames"/>
      <w:b/>
      <w:sz w:val="22"/>
    </w:rPr>
  </w:style>
  <w:style w:type="paragraph" w:styleId="658">
    <w:name w:val="Default Paragraph Font"/>
    <w:link w:val="659"/>
  </w:style>
  <w:style w:type="character" w:styleId="659">
    <w:name w:val="Default Paragraph Font"/>
    <w:link w:val="658"/>
  </w:style>
  <w:style w:type="paragraph" w:styleId="660">
    <w:name w:val="Heading 1"/>
    <w:next w:val="634"/>
    <w:link w:val="661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661">
    <w:name w:val="Heading 1"/>
    <w:link w:val="660"/>
    <w:rPr>
      <w:rFonts w:ascii="XO Thames" w:hAnsi="XO Thames"/>
      <w:b/>
      <w:sz w:val="32"/>
    </w:rPr>
  </w:style>
  <w:style w:type="paragraph" w:styleId="662">
    <w:name w:val="Hyperlink"/>
    <w:link w:val="663"/>
    <w:rPr>
      <w:color w:val="0000ff"/>
      <w:u w:val="single"/>
    </w:rPr>
  </w:style>
  <w:style w:type="character" w:styleId="663">
    <w:name w:val="Hyperlink"/>
    <w:link w:val="662"/>
    <w:rPr>
      <w:color w:val="0000ff"/>
      <w:u w:val="single"/>
    </w:rPr>
  </w:style>
  <w:style w:type="paragraph" w:styleId="664">
    <w:name w:val="Footnote"/>
    <w:link w:val="665"/>
    <w:pPr>
      <w:ind w:left="0" w:firstLine="851"/>
      <w:jc w:val="both"/>
    </w:pPr>
    <w:rPr>
      <w:rFonts w:ascii="XO Thames" w:hAnsi="XO Thames"/>
      <w:sz w:val="22"/>
    </w:rPr>
  </w:style>
  <w:style w:type="character" w:styleId="665">
    <w:name w:val="Footnote"/>
    <w:link w:val="664"/>
    <w:rPr>
      <w:rFonts w:ascii="XO Thames" w:hAnsi="XO Thames"/>
      <w:sz w:val="22"/>
    </w:rPr>
  </w:style>
  <w:style w:type="paragraph" w:styleId="666">
    <w:name w:val="toc 1"/>
    <w:next w:val="634"/>
    <w:link w:val="667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67">
    <w:name w:val="toc 1"/>
    <w:link w:val="666"/>
    <w:rPr>
      <w:rFonts w:ascii="XO Thames" w:hAnsi="XO Thames"/>
      <w:b/>
      <w:sz w:val="28"/>
    </w:rPr>
  </w:style>
  <w:style w:type="paragraph" w:styleId="668">
    <w:name w:val="Header and Footer"/>
    <w:link w:val="669"/>
    <w:pPr>
      <w:jc w:val="both"/>
      <w:spacing w:line="240" w:lineRule="auto"/>
    </w:pPr>
    <w:rPr>
      <w:rFonts w:ascii="XO Thames" w:hAnsi="XO Thames"/>
      <w:sz w:val="20"/>
    </w:rPr>
  </w:style>
  <w:style w:type="character" w:styleId="669">
    <w:name w:val="Header and Footer"/>
    <w:link w:val="668"/>
    <w:rPr>
      <w:rFonts w:ascii="XO Thames" w:hAnsi="XO Thames"/>
      <w:sz w:val="20"/>
    </w:rPr>
  </w:style>
  <w:style w:type="paragraph" w:styleId="670">
    <w:name w:val="toc 9"/>
    <w:next w:val="634"/>
    <w:link w:val="671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71">
    <w:name w:val="toc 9"/>
    <w:link w:val="670"/>
    <w:rPr>
      <w:rFonts w:ascii="XO Thames" w:hAnsi="XO Thames"/>
      <w:sz w:val="28"/>
    </w:rPr>
  </w:style>
  <w:style w:type="paragraph" w:styleId="672">
    <w:name w:val="toc 8"/>
    <w:next w:val="634"/>
    <w:link w:val="673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73">
    <w:name w:val="toc 8"/>
    <w:link w:val="672"/>
    <w:rPr>
      <w:rFonts w:ascii="XO Thames" w:hAnsi="XO Thames"/>
      <w:sz w:val="28"/>
    </w:rPr>
  </w:style>
  <w:style w:type="paragraph" w:styleId="674">
    <w:name w:val="toc 5"/>
    <w:next w:val="634"/>
    <w:link w:val="675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75">
    <w:name w:val="toc 5"/>
    <w:link w:val="674"/>
    <w:rPr>
      <w:rFonts w:ascii="XO Thames" w:hAnsi="XO Thames"/>
      <w:sz w:val="28"/>
    </w:rPr>
  </w:style>
  <w:style w:type="paragraph" w:styleId="676">
    <w:name w:val="page number"/>
    <w:basedOn w:val="658"/>
    <w:link w:val="677"/>
  </w:style>
  <w:style w:type="character" w:styleId="677">
    <w:name w:val="page number"/>
    <w:basedOn w:val="659"/>
    <w:link w:val="676"/>
  </w:style>
  <w:style w:type="paragraph" w:styleId="678">
    <w:name w:val="Header"/>
    <w:basedOn w:val="634"/>
    <w:link w:val="679"/>
    <w:pPr>
      <w:tabs>
        <w:tab w:val="center" w:pos="4677" w:leader="none"/>
        <w:tab w:val="right" w:pos="9355" w:leader="none"/>
      </w:tabs>
    </w:pPr>
  </w:style>
  <w:style w:type="character" w:styleId="679">
    <w:name w:val="Header"/>
    <w:basedOn w:val="635"/>
    <w:link w:val="678"/>
  </w:style>
  <w:style w:type="paragraph" w:styleId="680">
    <w:name w:val="Subtitle"/>
    <w:next w:val="634"/>
    <w:link w:val="681"/>
    <w:uiPriority w:val="11"/>
    <w:qFormat/>
    <w:pPr>
      <w:jc w:val="both"/>
    </w:pPr>
    <w:rPr>
      <w:rFonts w:ascii="XO Thames" w:hAnsi="XO Thames"/>
      <w:i/>
      <w:sz w:val="24"/>
    </w:rPr>
  </w:style>
  <w:style w:type="character" w:styleId="681">
    <w:name w:val="Subtitle"/>
    <w:link w:val="680"/>
    <w:rPr>
      <w:rFonts w:ascii="XO Thames" w:hAnsi="XO Thames"/>
      <w:i/>
      <w:sz w:val="24"/>
    </w:rPr>
  </w:style>
  <w:style w:type="paragraph" w:styleId="682">
    <w:name w:val="Title"/>
    <w:next w:val="634"/>
    <w:link w:val="683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683">
    <w:name w:val="Title"/>
    <w:link w:val="682"/>
    <w:rPr>
      <w:rFonts w:ascii="XO Thames" w:hAnsi="XO Thames"/>
      <w:b/>
      <w:caps/>
      <w:sz w:val="40"/>
    </w:rPr>
  </w:style>
  <w:style w:type="paragraph" w:styleId="684">
    <w:name w:val="Heading 4"/>
    <w:next w:val="634"/>
    <w:link w:val="685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685">
    <w:name w:val="Heading 4"/>
    <w:link w:val="684"/>
    <w:rPr>
      <w:rFonts w:ascii="XO Thames" w:hAnsi="XO Thames"/>
      <w:b/>
      <w:sz w:val="24"/>
    </w:rPr>
  </w:style>
  <w:style w:type="paragraph" w:styleId="686">
    <w:name w:val="Heading 2"/>
    <w:basedOn w:val="634"/>
    <w:link w:val="687"/>
    <w:uiPriority w:val="9"/>
    <w:qFormat/>
    <w:pPr>
      <w:spacing w:beforeAutospacing="1" w:afterAutospacing="1"/>
      <w:outlineLvl w:val="1"/>
    </w:pPr>
    <w:rPr>
      <w:b/>
      <w:sz w:val="36"/>
    </w:rPr>
  </w:style>
  <w:style w:type="character" w:styleId="687">
    <w:name w:val="Heading 2"/>
    <w:basedOn w:val="635"/>
    <w:link w:val="686"/>
    <w:rPr>
      <w:b/>
      <w:sz w:val="36"/>
    </w:rPr>
  </w:style>
  <w:style w:type="paragraph" w:styleId="688">
    <w:name w:val="Balloon Text"/>
    <w:basedOn w:val="634"/>
    <w:link w:val="689"/>
    <w:rPr>
      <w:rFonts w:ascii="Tahoma" w:hAnsi="Tahoma"/>
      <w:sz w:val="16"/>
    </w:rPr>
  </w:style>
  <w:style w:type="character" w:styleId="689">
    <w:name w:val="Balloon Text"/>
    <w:basedOn w:val="635"/>
    <w:link w:val="688"/>
    <w:rPr>
      <w:rFonts w:ascii="Tahoma" w:hAnsi="Tahoma"/>
      <w:sz w:val="16"/>
    </w:rPr>
  </w:style>
  <w:style w:type="table" w:styleId="69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2023-11-28T08:43:46Z</dcterms:modified>
</cp:coreProperties>
</file>