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01.12.2025</w:t>
                            </w:r>
                            <w:r>
                              <w:t xml:space="preserve"> № 128н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Подпункт 2.2 пункта 2 раздела II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дополнить </w:t>
      </w:r>
      <w:r>
        <w:rPr>
          <w:sz w:val="28"/>
        </w:rPr>
        <w:t xml:space="preserve">подпунктом </w:t>
      </w:r>
      <w:r>
        <w:rPr>
          <w:sz w:val="28"/>
        </w:rPr>
        <w:t>2.2.273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2.2.273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«А5350 Создание современной инфраструктуры приемных отделений медицинских организаций с использованием модульных конструкций для оказания экстренной медицинской помощи больным с </w:t>
      </w:r>
      <w:r>
        <w:rPr>
          <w:sz w:val="28"/>
        </w:rPr>
        <w:t>жизнеугрожающими</w:t>
      </w:r>
      <w:r>
        <w:rPr>
          <w:sz w:val="28"/>
        </w:rPr>
        <w:t xml:space="preserve"> состояниями, дооснащение и оснащение медицинскими изделиями приемных отделений медицинских организаций за счет средств областного бюджета» отражаются расходы областного бюджета на реализацию мероприятий по созданию современной инфраструктуры приемных отделений медицинских организаций с использованием модульных конструкций для оказания экстренной</w:t>
      </w:r>
      <w:r>
        <w:rPr>
          <w:sz w:val="28"/>
        </w:rPr>
        <w:t xml:space="preserve"> медицинской</w:t>
      </w:r>
      <w:bookmarkStart w:id="1" w:name="_GoBack"/>
      <w:bookmarkEnd w:id="1"/>
      <w:r>
        <w:rPr>
          <w:sz w:val="28"/>
        </w:rPr>
        <w:t xml:space="preserve"> помощи больным с </w:t>
      </w:r>
      <w:r>
        <w:rPr>
          <w:sz w:val="28"/>
        </w:rPr>
        <w:t>жизнеугрожающими</w:t>
      </w:r>
      <w:r>
        <w:rPr>
          <w:sz w:val="28"/>
        </w:rPr>
        <w:t xml:space="preserve"> состояниями в целях достижения результатов регионального проекта «Совершенствование э</w:t>
      </w:r>
      <w:r>
        <w:rPr>
          <w:sz w:val="28"/>
        </w:rPr>
        <w:t>кстренной медицинской помощи»</w:t>
      </w:r>
      <w:r>
        <w:rPr>
          <w:sz w:val="28"/>
        </w:rPr>
        <w:t>.»</w:t>
      </w:r>
      <w:r>
        <w:rPr>
          <w:sz w:val="28"/>
        </w:rPr>
        <w:t>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слова «2.2.273</w:t>
      </w:r>
      <w:r>
        <w:rPr>
          <w:sz w:val="28"/>
          <w:vertAlign w:val="superscript"/>
        </w:rPr>
        <w:t>1</w:t>
      </w:r>
      <w:r>
        <w:rPr>
          <w:sz w:val="28"/>
        </w:rPr>
        <w:t>. По направлению расходов «А5590 Оснащение предметных кабинетов общеобразовательных организаций средствами обучения и воспитания за счет средств областного бюджета» отражаются расходы» заменить словами «2.2.273</w:t>
      </w:r>
      <w:r>
        <w:rPr>
          <w:sz w:val="28"/>
          <w:vertAlign w:val="superscript"/>
        </w:rPr>
        <w:t>2</w:t>
      </w:r>
      <w:r>
        <w:rPr>
          <w:sz w:val="28"/>
        </w:rPr>
        <w:t>. По направлению расходов «А5590 Оснащение предметных кабинетов общеобразовательных организаций средствами обучения и воспитания за счет средств областного бюджета» отражаются расходы».</w:t>
      </w:r>
    </w:p>
    <w:p w14:paraId="15000000">
      <w:pPr>
        <w:ind w:firstLine="708" w:left="0"/>
        <w:jc w:val="both"/>
        <w:rPr>
          <w:sz w:val="28"/>
        </w:rPr>
      </w:pPr>
      <w:r>
        <w:rPr>
          <w:sz w:val="28"/>
        </w:rPr>
        <w:t>2. В Приложении 1 к указанному Порядку:</w:t>
      </w:r>
    </w:p>
    <w:p w14:paraId="16000000">
      <w:pPr>
        <w:ind w:firstLine="708" w:left="0"/>
        <w:jc w:val="both"/>
        <w:rPr>
          <w:sz w:val="28"/>
        </w:rPr>
      </w:pPr>
      <w:r>
        <w:rPr>
          <w:sz w:val="28"/>
        </w:rPr>
        <w:t>1) 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«01 1 Д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55540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закупки авиационных работ в целях оказания медицинской помощи»</w:t>
            </w:r>
          </w:p>
        </w:tc>
      </w:tr>
    </w:tbl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rPr>
          <w:trHeight w:hRule="atLeast" w:val="764"/>
        </w:trP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1 Д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А5350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</w:r>
            <w:r>
              <w:rPr>
                <w:sz w:val="28"/>
              </w:rPr>
              <w:t>жизнеугрожающими</w:t>
            </w:r>
            <w:r>
              <w:rPr>
                <w:sz w:val="28"/>
              </w:rPr>
              <w:t xml:space="preserve"> состояниями, дооснащение и оснащение медицинскими изделиями приемных отделений медицинских организаций за счет средств областного бюджета</w:t>
            </w:r>
            <w:r>
              <w:rPr>
                <w:sz w:val="28"/>
              </w:rPr>
              <w:t>»;</w:t>
            </w:r>
          </w:p>
        </w:tc>
      </w:tr>
    </w:tbl>
    <w:p w14:paraId="1C000000">
      <w:pPr>
        <w:pStyle w:val="Style_4"/>
      </w:pPr>
      <w:r>
        <w:t>2) </w:t>
      </w:r>
      <w:r>
        <w:t>строку:</w:t>
      </w:r>
    </w:p>
    <w:tbl>
      <w:tblPr>
        <w:tblStyle w:val="Style_3"/>
        <w:tblInd w:type="dxa" w:w="62"/>
        <w:tblLayout w:type="fixed"/>
        <w:tblCellMar>
          <w:left w:type="dxa" w:w="10"/>
          <w:right w:type="dxa" w:w="10"/>
        </w:tblCellMar>
      </w:tblPr>
      <w:tblGrid>
        <w:gridCol w:w="1985"/>
        <w:gridCol w:w="7087"/>
      </w:tblGrid>
      <w:t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«05 4 07 00000</w:t>
            </w:r>
          </w:p>
        </w:tc>
        <w:tc>
          <w:tcPr>
            <w:tcW w:type="dxa" w:w="7087"/>
            <w:tcMar>
              <w:left w:type="dxa" w:w="10"/>
              <w:right w:type="dxa" w:w="10"/>
            </w:tcMar>
          </w:tcPr>
          <w:p w14:paraId="1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«Обеспечение деятельности Министерства строительства Курской области и подведомственных государственных учреждений»</w:t>
            </w:r>
          </w:p>
        </w:tc>
      </w:tr>
    </w:tbl>
    <w:p w14:paraId="1F000000">
      <w:pPr>
        <w:ind w:firstLine="709" w:left="0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left w:type="dxa" w:w="10"/>
          <w:right w:type="dxa" w:w="10"/>
        </w:tblCellMar>
      </w:tblPr>
      <w:tblGrid>
        <w:gridCol w:w="1985"/>
        <w:gridCol w:w="7087"/>
      </w:tblGrid>
      <w:t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«05 4 07 00000</w:t>
            </w:r>
          </w:p>
        </w:tc>
        <w:tc>
          <w:tcPr>
            <w:tcW w:type="dxa" w:w="7087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«Обеспечение деятельности Министерства восстановления, развития приграничья и строительства Курской области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подведомственных государственных учреждений».</w:t>
            </w:r>
          </w:p>
        </w:tc>
      </w:tr>
    </w:tbl>
    <w:p w14:paraId="22000000">
      <w:pPr>
        <w:pStyle w:val="Style_4"/>
      </w:pPr>
    </w:p>
    <w:p w14:paraId="23000000">
      <w:pPr>
        <w:pStyle w:val="Style_4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nt Style12"/>
    <w:link w:val="Style_10_ch"/>
    <w:rPr>
      <w:rFonts w:ascii="Times New Roman" w:hAnsi="Times New Roman"/>
      <w:sz w:val="30"/>
    </w:rPr>
  </w:style>
  <w:style w:styleId="Style_10_ch" w:type="character">
    <w:name w:val="Font Style12"/>
    <w:link w:val="Style_10"/>
    <w:rPr>
      <w:rFonts w:ascii="Times New Roman" w:hAnsi="Times New Roman"/>
      <w:sz w:val="30"/>
    </w:rPr>
  </w:style>
  <w:style w:styleId="Style_11" w:type="paragraph">
    <w:name w:val="No Spacing"/>
    <w:link w:val="Style_11_ch"/>
    <w:pPr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No Spacing"/>
    <w:link w:val="Style_11"/>
    <w:rPr>
      <w:rFonts w:ascii="Times New Roman" w:hAnsi="Times New Roman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Style4"/>
    <w:basedOn w:val="Style_5"/>
    <w:link w:val="Style_14_ch"/>
    <w:pPr>
      <w:widowControl w:val="0"/>
      <w:spacing w:line="546" w:lineRule="exact"/>
      <w:ind w:firstLine="552" w:left="0"/>
      <w:jc w:val="both"/>
    </w:pPr>
  </w:style>
  <w:style w:styleId="Style_14_ch" w:type="character">
    <w:name w:val="Style4"/>
    <w:basedOn w:val="Style_5_ch"/>
    <w:link w:val="Style_14"/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s_1"/>
    <w:basedOn w:val="Style_5"/>
    <w:link w:val="Style_16_ch"/>
    <w:pPr>
      <w:spacing w:afterAutospacing="on" w:beforeAutospacing="on"/>
      <w:ind/>
    </w:pPr>
  </w:style>
  <w:style w:styleId="Style_16_ch" w:type="character">
    <w:name w:val="s_1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Title"/>
    <w:link w:val="Style_1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8_ch" w:type="character">
    <w:name w:val="ConsPlusTitle"/>
    <w:link w:val="Style_18"/>
    <w:rPr>
      <w:rFonts w:ascii="Calibri" w:hAnsi="Calibri"/>
      <w:b w:val="1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1" w:type="paragraph">
    <w:name w:val="ConsPlusNonformat"/>
    <w:link w:val="Style_21_ch"/>
    <w:pPr>
      <w:spacing w:after="0" w:line="240" w:lineRule="auto"/>
      <w:ind/>
    </w:pPr>
    <w:rPr>
      <w:rFonts w:ascii="Courier New" w:hAnsi="Courier New"/>
      <w:sz w:val="20"/>
    </w:rPr>
  </w:style>
  <w:style w:styleId="Style_21_ch" w:type="character">
    <w:name w:val="ConsPlusNonformat"/>
    <w:link w:val="Style_21"/>
    <w:rPr>
      <w:rFonts w:ascii="Courier New" w:hAnsi="Courier New"/>
      <w:sz w:val="20"/>
    </w:rPr>
  </w:style>
  <w:style w:styleId="Style_22" w:type="paragraph">
    <w:name w:val="Hyperlink"/>
    <w:basedOn w:val="Style_12"/>
    <w:link w:val="Style_22_ch"/>
    <w:rPr>
      <w:color w:val="0000FF"/>
      <w:u w:val="single"/>
    </w:rPr>
  </w:style>
  <w:style w:styleId="Style_22_ch" w:type="character">
    <w:name w:val="Hyperlink"/>
    <w:basedOn w:val="Style_12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s_16"/>
    <w:basedOn w:val="Style_5"/>
    <w:link w:val="Style_26_ch"/>
    <w:pPr>
      <w:spacing w:afterAutospacing="on" w:beforeAutospacing="on"/>
      <w:ind/>
    </w:pPr>
  </w:style>
  <w:style w:styleId="Style_26_ch" w:type="character">
    <w:name w:val="s_16"/>
    <w:basedOn w:val="Style_5_ch"/>
    <w:link w:val="Style_26"/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footer"/>
    <w:basedOn w:val="Style_5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5_ch"/>
    <w:link w:val="Style_28"/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Normal (Web)"/>
    <w:basedOn w:val="Style_5"/>
    <w:link w:val="Style_31_ch"/>
  </w:style>
  <w:style w:styleId="Style_31_ch" w:type="character">
    <w:name w:val="Normal (Web)"/>
    <w:basedOn w:val="Style_5_ch"/>
    <w:link w:val="Style_31"/>
  </w:style>
  <w:style w:styleId="Style_32" w:type="paragraph">
    <w:name w:val="Subtitle"/>
    <w:next w:val="Style_5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Balloon Text"/>
    <w:basedOn w:val="Style_5"/>
    <w:link w:val="Style_33_ch"/>
    <w:rPr>
      <w:rFonts w:ascii="Tahoma" w:hAnsi="Tahoma"/>
      <w:sz w:val="16"/>
    </w:rPr>
  </w:style>
  <w:style w:styleId="Style_33_ch" w:type="character">
    <w:name w:val="Balloon Text"/>
    <w:basedOn w:val="Style_5_ch"/>
    <w:link w:val="Style_33"/>
    <w:rPr>
      <w:rFonts w:ascii="Tahoma" w:hAnsi="Tahoma"/>
      <w:sz w:val="16"/>
    </w:rPr>
  </w:style>
  <w:style w:styleId="Style_34" w:type="paragraph">
    <w:name w:val="List Paragraph"/>
    <w:basedOn w:val="Style_5"/>
    <w:link w:val="Style_3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4_ch" w:type="character">
    <w:name w:val="List Paragraph"/>
    <w:basedOn w:val="Style_5_ch"/>
    <w:link w:val="Style_34"/>
    <w:rPr>
      <w:rFonts w:ascii="Calibri" w:hAnsi="Calibri"/>
      <w:sz w:val="22"/>
    </w:rPr>
  </w:style>
  <w:style w:styleId="Style_35" w:type="paragraph">
    <w:name w:val="Title"/>
    <w:basedOn w:val="Style_5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5_ch"/>
    <w:link w:val="Style_35"/>
    <w:rPr>
      <w:b w:val="1"/>
      <w:sz w:val="28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ighlightsearch"/>
    <w:basedOn w:val="Style_12"/>
    <w:link w:val="Style_37_ch"/>
  </w:style>
  <w:style w:styleId="Style_37_ch" w:type="character">
    <w:name w:val="highlightsearch"/>
    <w:basedOn w:val="Style_12_ch"/>
    <w:link w:val="Style_37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msonormal_mr_css_attr"/>
    <w:basedOn w:val="Style_5"/>
    <w:link w:val="Style_39_ch"/>
    <w:pPr>
      <w:spacing w:afterAutospacing="on" w:beforeAutospacing="on"/>
      <w:ind/>
    </w:pPr>
  </w:style>
  <w:style w:styleId="Style_39_ch" w:type="character">
    <w:name w:val="msonormal_mr_css_attr"/>
    <w:basedOn w:val="Style_5_ch"/>
    <w:link w:val="Style_39"/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2025-12-01T11:40:56Z</dcterms:modified>
</cp:coreProperties>
</file>