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07.05.2024</w:t>
                            </w:r>
                            <w:r>
                              <w:t xml:space="preserve"> № 41н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 В разделе 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Классификация </w:t>
      </w:r>
      <w:r>
        <w:rPr>
          <w:sz w:val="28"/>
        </w:rPr>
        <w:t>до</w:t>
      </w:r>
      <w:r>
        <w:rPr>
          <w:sz w:val="28"/>
        </w:rPr>
        <w:t>ходов областного бюджета»</w:t>
      </w:r>
      <w:r>
        <w:rPr>
          <w:sz w:val="28"/>
        </w:rPr>
        <w:t>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> </w:t>
      </w:r>
      <w:r>
        <w:rPr>
          <w:sz w:val="28"/>
        </w:rPr>
        <w:t>в</w:t>
      </w:r>
      <w:r>
        <w:rPr>
          <w:sz w:val="28"/>
        </w:rPr>
        <w:t xml:space="preserve"> пункте 3.1 слова «0023 - Штрафы за вовлечение несовершеннолетнего в процесс потребления табака</w:t>
      </w:r>
      <w:r>
        <w:rPr>
          <w:sz w:val="28"/>
        </w:rPr>
        <w:t>;»</w:t>
      </w:r>
      <w:r>
        <w:rPr>
          <w:sz w:val="28"/>
        </w:rPr>
        <w:t xml:space="preserve"> заменить словами «0023 - Штрафы за вовлечение несовершеннолетнего в процесс потребления табака или потребления </w:t>
      </w:r>
      <w:r>
        <w:rPr>
          <w:sz w:val="28"/>
        </w:rPr>
        <w:t>никотинсодержащей</w:t>
      </w:r>
      <w:r>
        <w:rPr>
          <w:sz w:val="28"/>
        </w:rPr>
        <w:t xml:space="preserve"> продукции;)</w:t>
      </w:r>
      <w:r>
        <w:rPr>
          <w:sz w:val="28"/>
        </w:rPr>
        <w:t>»;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2) в</w:t>
      </w:r>
      <w:r>
        <w:rPr>
          <w:sz w:val="28"/>
        </w:rPr>
        <w:t xml:space="preserve"> пункте 3.1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 xml:space="preserve">слова «0012 - Штрафы за производство или продажу товаров и продукции, в отношении которых установлены требования </w:t>
      </w:r>
      <w:r>
        <w:rPr>
          <w:sz w:val="28"/>
        </w:rPr>
        <w:br/>
      </w:r>
      <w:r>
        <w:rPr>
          <w:sz w:val="28"/>
        </w:rPr>
        <w:t>по маркировке и (или) нанесению информации, без соответствующей маркировк</w:t>
      </w:r>
      <w:r>
        <w:rPr>
          <w:sz w:val="28"/>
        </w:rPr>
        <w:t>и и (или) информации, а также с </w:t>
      </w:r>
      <w:r>
        <w:rPr>
          <w:sz w:val="28"/>
        </w:rPr>
        <w:t>нарушением установленного порядка нанесения такой маркировки и (или) информации, за исключением штрафов за ад</w:t>
      </w:r>
      <w:r>
        <w:rPr>
          <w:sz w:val="28"/>
        </w:rPr>
        <w:t>министративные правонарушения в </w:t>
      </w:r>
      <w:r>
        <w:rPr>
          <w:sz w:val="28"/>
        </w:rPr>
        <w:t xml:space="preserve">области производства </w:t>
      </w:r>
      <w:r>
        <w:rPr>
          <w:sz w:val="28"/>
        </w:rPr>
        <w:br/>
      </w:r>
      <w:r>
        <w:rPr>
          <w:sz w:val="28"/>
        </w:rPr>
        <w:t xml:space="preserve">и оборота </w:t>
      </w:r>
      <w:r>
        <w:rPr>
          <w:sz w:val="28"/>
        </w:rPr>
        <w:t>этилового спирта, алкогольной и </w:t>
      </w:r>
      <w:r>
        <w:rPr>
          <w:sz w:val="28"/>
        </w:rPr>
        <w:t>спиртосодержащей продукции</w:t>
      </w:r>
      <w:r>
        <w:rPr>
          <w:sz w:val="28"/>
        </w:rPr>
        <w:t xml:space="preserve">;» </w:t>
      </w:r>
      <w:r>
        <w:rPr>
          <w:sz w:val="28"/>
        </w:rPr>
        <w:t xml:space="preserve">заменить словами «0012 - </w:t>
      </w:r>
      <w:r>
        <w:rPr>
          <w:sz w:val="28"/>
        </w:rPr>
        <w:t>Штрафы за </w:t>
      </w:r>
      <w:r>
        <w:rPr>
          <w:sz w:val="28"/>
        </w:rPr>
        <w:t xml:space="preserve">производство, ввод </w:t>
      </w:r>
      <w:r>
        <w:rPr>
          <w:sz w:val="28"/>
        </w:rPr>
        <w:br/>
      </w:r>
      <w:r>
        <w:rPr>
          <w:sz w:val="28"/>
        </w:rPr>
        <w:t xml:space="preserve">в оборот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</w:t>
      </w:r>
      <w:r>
        <w:rPr>
          <w:sz w:val="28"/>
        </w:rPr>
        <w:br/>
      </w:r>
      <w:r>
        <w:rPr>
          <w:sz w:val="28"/>
        </w:rPr>
        <w:t>а также с нарушением установленного порядка нанесения такой ма</w:t>
      </w:r>
      <w:r>
        <w:rPr>
          <w:sz w:val="28"/>
        </w:rPr>
        <w:t>ркировки и (или) информации, за </w:t>
      </w:r>
      <w:r>
        <w:rPr>
          <w:sz w:val="28"/>
        </w:rPr>
        <w:t xml:space="preserve">исключением штрафов </w:t>
      </w:r>
      <w:r>
        <w:rPr>
          <w:sz w:val="28"/>
        </w:rPr>
        <w:br/>
      </w:r>
      <w:r>
        <w:rPr>
          <w:sz w:val="28"/>
        </w:rPr>
        <w:t xml:space="preserve">за административные правонарушения в области производства и оборота этилового спирта, алкогольной </w:t>
      </w:r>
      <w:r>
        <w:rPr>
          <w:sz w:val="28"/>
        </w:rPr>
        <w:t>и спиртосодержащей продукции);»;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3) в пункте 3.21</w:t>
      </w:r>
      <w:r>
        <w:rPr>
          <w:sz w:val="28"/>
        </w:rPr>
        <w:t xml:space="preserve"> </w:t>
      </w:r>
      <w:r>
        <w:rPr>
          <w:sz w:val="28"/>
        </w:rPr>
        <w:t>слова «0012 - 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</w:t>
      </w:r>
      <w:r>
        <w:rPr>
          <w:sz w:val="28"/>
        </w:rPr>
        <w:t>;»</w:t>
      </w:r>
      <w:r>
        <w:rPr>
          <w:sz w:val="28"/>
        </w:rPr>
        <w:t xml:space="preserve"> заменить словами «0012 - Штрафы за передачу либо попытку передачи запрещенных предметов лицу, содержащемуся </w:t>
      </w:r>
      <w:r>
        <w:rPr>
          <w:sz w:val="28"/>
        </w:rPr>
        <w:br/>
      </w:r>
      <w:r>
        <w:rPr>
          <w:sz w:val="28"/>
        </w:rPr>
        <w:t>в учреждении уголовно-исполнительной системы или</w:t>
      </w:r>
      <w:r>
        <w:rPr>
          <w:sz w:val="28"/>
        </w:rPr>
        <w:t xml:space="preserve"> месте содержания под стражей;»;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 xml:space="preserve">в пункте 3.23: 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 xml:space="preserve">слова «0008 - 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</w:t>
      </w:r>
      <w:r>
        <w:rPr>
          <w:sz w:val="28"/>
        </w:rPr>
        <w:br/>
      </w:r>
      <w:r>
        <w:rPr>
          <w:sz w:val="28"/>
        </w:rPr>
        <w:t xml:space="preserve">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</w:t>
      </w:r>
      <w:r>
        <w:rPr>
          <w:sz w:val="28"/>
        </w:rPr>
        <w:br/>
      </w:r>
      <w:r>
        <w:rPr>
          <w:sz w:val="28"/>
        </w:rPr>
        <w:t xml:space="preserve">о прохождении подготовки и проверки знания правил безопасного обращения с оружием и наличия </w:t>
      </w:r>
      <w:r>
        <w:rPr>
          <w:sz w:val="28"/>
        </w:rPr>
        <w:t>навыков безопасного обращения</w:t>
      </w:r>
      <w:r>
        <w:rPr>
          <w:sz w:val="28"/>
        </w:rPr>
        <w:t xml:space="preserve"> с </w:t>
      </w:r>
      <w:r>
        <w:rPr>
          <w:sz w:val="28"/>
        </w:rPr>
        <w:t>оружием или медицинских заключений о</w:t>
      </w:r>
      <w:r>
        <w:rPr>
          <w:sz w:val="28"/>
        </w:rPr>
        <w:t>б отсутствии противопоказаний к </w:t>
      </w:r>
      <w:r>
        <w:rPr>
          <w:sz w:val="28"/>
        </w:rPr>
        <w:t>владению оружием</w:t>
      </w:r>
      <w:r>
        <w:rPr>
          <w:sz w:val="28"/>
        </w:rPr>
        <w:t>;»</w:t>
      </w:r>
      <w:r>
        <w:rPr>
          <w:sz w:val="28"/>
        </w:rPr>
        <w:t xml:space="preserve"> заменить словами «0008 - 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хранения, уничтожения или учета взрывчатых веществ </w:t>
      </w:r>
      <w:r>
        <w:rPr>
          <w:sz w:val="28"/>
        </w:rPr>
        <w:br/>
      </w:r>
      <w:r>
        <w:rPr>
          <w:sz w:val="28"/>
        </w:rPr>
        <w:t>и взрывных устройств, пиротехнических изделий, порядка выдачи свидетельства о прохождении подготовки и проверки знания правил бе</w:t>
      </w:r>
      <w:r>
        <w:rPr>
          <w:sz w:val="28"/>
        </w:rPr>
        <w:t>зопасного обращения с оружием и </w:t>
      </w:r>
      <w:r>
        <w:rPr>
          <w:sz w:val="28"/>
        </w:rPr>
        <w:t>наличия навыков безопасного обращения с оружием или медицинских заключений об отсутствии противопоказаний к владению оружием</w:t>
      </w:r>
      <w:r>
        <w:rPr>
          <w:sz w:val="28"/>
        </w:rPr>
        <w:t>;»</w:t>
      </w:r>
      <w:r>
        <w:rPr>
          <w:sz w:val="28"/>
        </w:rPr>
        <w:t>;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 xml:space="preserve">слова «0010 - Штрафы за незаконные изготовление, продажу </w:t>
      </w:r>
      <w:r>
        <w:rPr>
          <w:sz w:val="28"/>
        </w:rPr>
        <w:br/>
      </w:r>
      <w:r>
        <w:rPr>
          <w:sz w:val="28"/>
        </w:rPr>
        <w:t>или передачу пневматического оружия;» заменить словами «0010 – Штрафы за незаконные изготовление, приобретение, продажу, передачу, хранение, перевозку, транспортирование, ношение или использование оружия, основных частей огнестрельного оружия и патронов к оружию;».</w:t>
      </w:r>
    </w:p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 xml:space="preserve">Подпункт 2.2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2</w:t>
      </w:r>
      <w:r>
        <w:rPr>
          <w:sz w:val="28"/>
        </w:rPr>
        <w:t xml:space="preserve"> раздел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дополнить подпунктом </w:t>
      </w:r>
      <w:r>
        <w:rPr>
          <w:sz w:val="28"/>
        </w:rPr>
        <w:t>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331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«2.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331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</w:t>
      </w:r>
      <w:r>
        <w:rPr>
          <w:sz w:val="28"/>
        </w:rPr>
        <w:t xml:space="preserve">сходов «R750F </w:t>
      </w:r>
      <w:r>
        <w:rPr>
          <w:sz w:val="28"/>
        </w:rPr>
        <w:t>Реализация мероприятий по модернизации школьных систем образования с участием средств резервного фонда Правительства Российской Федерации» отражаются расходы, в том числе источником финансового обеспечения которых являются средства резервного фонда Правительства Российской Федерации, на реализацию мероприятий по модернизации школьных систем образования</w:t>
      </w:r>
      <w:r>
        <w:rPr>
          <w:sz w:val="28"/>
        </w:rPr>
        <w:t>.»</w:t>
      </w:r>
      <w:r>
        <w:rPr>
          <w:sz w:val="28"/>
        </w:rPr>
        <w:t>.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r>
              <w:t xml:space="preserve"> «</w:t>
            </w:r>
            <w:r>
              <w:t>02 1 P2 52320</w:t>
            </w:r>
          </w:p>
          <w:p w14:paraId="25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Создание дополнительных мест для детей в возрасте от 1,5 до 3 лет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  <w:r>
              <w:rPr>
                <w:sz w:val="23"/>
              </w:rPr>
              <w:t>»</w:t>
            </w:r>
          </w:p>
        </w:tc>
      </w:tr>
    </w:tbl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r>
              <w:t>«</w:t>
            </w:r>
            <w:r>
              <w:t>02 1 P2 5232F</w:t>
            </w:r>
          </w:p>
          <w:p w14:paraId="29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Создание дополнительных мест для детей в возрасте от 1,5 до 3 лет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образования с участием средств резервного фонда Правительства Российской Федерации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2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r>
              <w:t xml:space="preserve"> «</w:t>
            </w:r>
            <w:r>
              <w:t>02 2 01 R7500</w:t>
            </w:r>
          </w:p>
          <w:p w14:paraId="2D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мероприятий по модернизации школьных систем образования</w:t>
            </w:r>
            <w:r>
              <w:rPr>
                <w:sz w:val="23"/>
              </w:rPr>
              <w:t>»</w:t>
            </w:r>
          </w:p>
        </w:tc>
      </w:tr>
    </w:tbl>
    <w:p w14:paraId="2F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r>
              <w:t>«</w:t>
            </w:r>
            <w:r>
              <w:t>02 2 01 R750F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мероприятий по модернизации школьных систем образования с участием средств резервного фонда Правительства Российской Федерации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32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ConsPlusTitle"/>
    <w:link w:val="Style_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5_ch" w:type="character">
    <w:name w:val="ConsPlusTitle"/>
    <w:link w:val="Style_5"/>
    <w:rPr>
      <w:rFonts w:ascii="Calibri" w:hAnsi="Calibri"/>
      <w:b w:val="1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ConsPlusTitlePage"/>
    <w:link w:val="Style_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8_ch" w:type="character">
    <w:name w:val="ConsPlusTitlePage"/>
    <w:link w:val="Style_8"/>
    <w:rPr>
      <w:rFonts w:ascii="Tahoma" w:hAnsi="Tahoma"/>
      <w:sz w:val="20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Nonformat"/>
    <w:link w:val="Style_12_ch"/>
    <w:pPr>
      <w:spacing w:after="0" w:line="240" w:lineRule="auto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s_16"/>
    <w:basedOn w:val="Style_4"/>
    <w:link w:val="Style_13_ch"/>
    <w:pPr>
      <w:spacing w:afterAutospacing="on" w:beforeAutospacing="on"/>
      <w:ind/>
    </w:pPr>
  </w:style>
  <w:style w:styleId="Style_13_ch" w:type="character">
    <w:name w:val="s_16"/>
    <w:basedOn w:val="Style_4_ch"/>
    <w:link w:val="Style_13"/>
  </w:style>
  <w:style w:styleId="Style_14" w:type="paragraph">
    <w:name w:val="Font Style12"/>
    <w:link w:val="Style_14_ch"/>
    <w:rPr>
      <w:rFonts w:ascii="Times New Roman" w:hAnsi="Times New Roman"/>
      <w:sz w:val="30"/>
    </w:rPr>
  </w:style>
  <w:style w:styleId="Style_14_ch" w:type="character">
    <w:name w:val="Font Style12"/>
    <w:link w:val="Style_14"/>
    <w:rPr>
      <w:rFonts w:ascii="Times New Roman" w:hAnsi="Times New Roman"/>
      <w:sz w:val="30"/>
    </w:rPr>
  </w:style>
  <w:style w:styleId="Style_15" w:type="paragraph">
    <w:name w:val="No Spacing"/>
    <w:link w:val="Style_15_ch"/>
    <w:pPr>
      <w:spacing w:after="0" w:line="240" w:lineRule="auto"/>
      <w:ind/>
    </w:pPr>
    <w:rPr>
      <w:rFonts w:ascii="Times New Roman" w:hAnsi="Times New Roman"/>
      <w:sz w:val="28"/>
    </w:rPr>
  </w:style>
  <w:style w:styleId="Style_15_ch" w:type="character">
    <w:name w:val="No Spacing"/>
    <w:link w:val="Style_15"/>
    <w:rPr>
      <w:rFonts w:ascii="Times New Roman" w:hAnsi="Times New Roman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20"/>
    <w:link w:val="Style_19_ch"/>
    <w:rPr>
      <w:color w:val="0000FF"/>
      <w:u w:val="single"/>
    </w:rPr>
  </w:style>
  <w:style w:styleId="Style_19_ch" w:type="character">
    <w:name w:val="Hyperlink"/>
    <w:basedOn w:val="Style_20_ch"/>
    <w:link w:val="Style_19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List Paragraph"/>
    <w:basedOn w:val="Style_4"/>
    <w:link w:val="Style_2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2_ch" w:type="character">
    <w:name w:val="List Paragraph"/>
    <w:basedOn w:val="Style_4_ch"/>
    <w:link w:val="Style_22"/>
    <w:rPr>
      <w:rFonts w:ascii="Calibri" w:hAnsi="Calibri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footer"/>
    <w:basedOn w:val="Style_4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4_ch"/>
    <w:link w:val="Style_25"/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s_1"/>
    <w:basedOn w:val="Style_4"/>
    <w:link w:val="Style_27_ch"/>
    <w:pPr>
      <w:spacing w:afterAutospacing="on" w:beforeAutospacing="on"/>
      <w:ind/>
    </w:pPr>
  </w:style>
  <w:style w:styleId="Style_27_ch" w:type="character">
    <w:name w:val="s_1"/>
    <w:basedOn w:val="Style_4_ch"/>
    <w:link w:val="Style_27"/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highlightsearch"/>
    <w:basedOn w:val="Style_20"/>
    <w:link w:val="Style_29_ch"/>
  </w:style>
  <w:style w:styleId="Style_29_ch" w:type="character">
    <w:name w:val="highlightsearch"/>
    <w:basedOn w:val="Style_20_ch"/>
    <w:link w:val="Style_29"/>
  </w:style>
  <w:style w:styleId="Style_30" w:type="paragraph">
    <w:name w:val="msonormal_mr_css_attr"/>
    <w:basedOn w:val="Style_4"/>
    <w:link w:val="Style_30_ch"/>
    <w:pPr>
      <w:spacing w:afterAutospacing="on" w:beforeAutospacing="on"/>
      <w:ind/>
    </w:pPr>
  </w:style>
  <w:style w:styleId="Style_30_ch" w:type="character">
    <w:name w:val="msonormal_mr_css_attr"/>
    <w:basedOn w:val="Style_4_ch"/>
    <w:link w:val="Style_30"/>
  </w:style>
  <w:style w:styleId="Style_31" w:type="paragraph">
    <w:name w:val="Balloon Text"/>
    <w:basedOn w:val="Style_4"/>
    <w:link w:val="Style_31_ch"/>
    <w:rPr>
      <w:rFonts w:ascii="Tahoma" w:hAnsi="Tahoma"/>
      <w:sz w:val="16"/>
    </w:rPr>
  </w:style>
  <w:style w:styleId="Style_31_ch" w:type="character">
    <w:name w:val="Balloon Text"/>
    <w:basedOn w:val="Style_4_ch"/>
    <w:link w:val="Style_31"/>
    <w:rPr>
      <w:rFonts w:ascii="Tahoma" w:hAnsi="Tahoma"/>
      <w:sz w:val="16"/>
    </w:rPr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tyle4"/>
    <w:basedOn w:val="Style_4"/>
    <w:link w:val="Style_33_ch"/>
    <w:pPr>
      <w:widowControl w:val="0"/>
      <w:spacing w:line="546" w:lineRule="exact"/>
      <w:ind w:firstLine="552" w:left="0"/>
      <w:jc w:val="both"/>
    </w:pPr>
  </w:style>
  <w:style w:styleId="Style_33_ch" w:type="character">
    <w:name w:val="Style4"/>
    <w:basedOn w:val="Style_4_ch"/>
    <w:link w:val="Style_33"/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2024-05-07T06:54:12Z</dcterms:modified>
</cp:coreProperties>
</file>