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17.09.2025</w:t>
                            </w:r>
                            <w:r>
                              <w:t xml:space="preserve"> № 101н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pStyle w:val="Style_3"/>
      </w:pPr>
      <w:r>
        <w:t>1. В п</w:t>
      </w:r>
      <w:r>
        <w:t>одпунк</w:t>
      </w:r>
      <w:r>
        <w:t>те 2.2</w:t>
      </w:r>
      <w:r>
        <w:t xml:space="preserve"> п</w:t>
      </w:r>
      <w:r>
        <w:t>ункт</w:t>
      </w:r>
      <w:r>
        <w:t>а</w:t>
      </w:r>
      <w:r>
        <w:t xml:space="preserve"> 2 раздела </w:t>
      </w:r>
      <w:r>
        <w:t>II</w:t>
      </w:r>
      <w:r>
        <w:t xml:space="preserve"> «Классификац</w:t>
      </w:r>
      <w:r>
        <w:t>ия расходов областного бюджета»:</w:t>
      </w:r>
    </w:p>
    <w:p w14:paraId="12000000">
      <w:pPr>
        <w:pStyle w:val="Style_3"/>
      </w:pPr>
      <w:r>
        <w:t xml:space="preserve">1) подпункт 2.2.5 изложить в </w:t>
      </w:r>
      <w:r>
        <w:t>следующей</w:t>
      </w:r>
      <w:r>
        <w:t xml:space="preserve"> редакции:</w:t>
      </w:r>
    </w:p>
    <w:p w14:paraId="13000000">
      <w:pPr>
        <w:ind w:firstLine="720" w:left="0"/>
        <w:jc w:val="both"/>
        <w:rPr>
          <w:sz w:val="28"/>
        </w:rPr>
      </w:pPr>
      <w:r>
        <w:rPr>
          <w:sz w:val="28"/>
        </w:rPr>
        <w:t>«2.2.5. По направлению расходов «10030 Резервный фонд Правительства Курской области» отражаются расходы областного бюджета по формированию резервного фонда Пр</w:t>
      </w:r>
      <w:r>
        <w:rPr>
          <w:sz w:val="28"/>
        </w:rPr>
        <w:t>авительства Курской области. По </w:t>
      </w:r>
      <w:r>
        <w:rPr>
          <w:sz w:val="28"/>
        </w:rPr>
        <w:t xml:space="preserve">данному направлению также осуществляется расходование средств резервного фонда Правительства Курской области, за исключением средств, используемых на размещение и питание лиц, вынужденно покинувших жилые помещения и находящихся в </w:t>
      </w:r>
      <w:r>
        <w:rPr>
          <w:sz w:val="28"/>
        </w:rPr>
        <w:t>пунктах временного размещения и </w:t>
      </w:r>
      <w:r>
        <w:rPr>
          <w:sz w:val="28"/>
        </w:rPr>
        <w:t xml:space="preserve">питания на территории Курской области, а так же </w:t>
      </w:r>
      <w:r>
        <w:rPr>
          <w:sz w:val="28"/>
        </w:rPr>
        <w:t>субсидии юридическим лицам на реализаци</w:t>
      </w:r>
      <w:r>
        <w:rPr>
          <w:sz w:val="28"/>
        </w:rPr>
        <w:t>ю мер, направленных на </w:t>
      </w:r>
      <w:r>
        <w:rPr>
          <w:sz w:val="28"/>
        </w:rPr>
        <w:t>восстановление объектов, включая многоквартирные жилые дома, пострадавших от действий вооруженных формирований Украины, расположенных на территории Курской области</w:t>
      </w:r>
      <w:r>
        <w:rPr>
          <w:sz w:val="28"/>
        </w:rPr>
        <w:t>.»;</w:t>
      </w:r>
    </w:p>
    <w:p w14:paraId="14000000">
      <w:pPr>
        <w:ind w:firstLine="720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подпункт</w:t>
      </w:r>
      <w:r>
        <w:rPr>
          <w:sz w:val="28"/>
        </w:rPr>
        <w:t xml:space="preserve">ы </w:t>
      </w:r>
      <w:r>
        <w:rPr>
          <w:color w:val="000000"/>
          <w:sz w:val="28"/>
        </w:rPr>
        <w:t>2.2.194</w:t>
      </w:r>
      <w:r>
        <w:rPr>
          <w:color w:val="000000"/>
          <w:sz w:val="28"/>
          <w:vertAlign w:val="superscript"/>
        </w:rPr>
        <w:t>14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2.2.194</w:t>
      </w:r>
      <w:r>
        <w:rPr>
          <w:sz w:val="28"/>
          <w:vertAlign w:val="superscript"/>
        </w:rPr>
        <w:t xml:space="preserve">15 </w:t>
      </w:r>
      <w:r>
        <w:rPr>
          <w:sz w:val="28"/>
        </w:rPr>
        <w:t xml:space="preserve">изложить в </w:t>
      </w:r>
      <w:r>
        <w:rPr>
          <w:sz w:val="28"/>
        </w:rPr>
        <w:t>следующей</w:t>
      </w:r>
      <w:r>
        <w:rPr>
          <w:sz w:val="28"/>
        </w:rPr>
        <w:t xml:space="preserve"> редакции: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color w:val="000000"/>
          <w:sz w:val="28"/>
        </w:rPr>
        <w:t>2.2.194</w:t>
      </w:r>
      <w:r>
        <w:rPr>
          <w:color w:val="000000"/>
          <w:sz w:val="28"/>
          <w:vertAlign w:val="superscript"/>
        </w:rPr>
        <w:t>14</w:t>
      </w:r>
      <w:r>
        <w:rPr>
          <w:color w:val="000000"/>
          <w:sz w:val="28"/>
        </w:rPr>
        <w:t>. </w:t>
      </w:r>
      <w:r>
        <w:rPr>
          <w:color w:val="000000"/>
          <w:sz w:val="28"/>
        </w:rPr>
        <w:t xml:space="preserve">По направлению расходов «12904 Субсидии некоммерческим физкультурно-спортивным организациям на </w:t>
      </w:r>
      <w:r>
        <w:rPr>
          <w:color w:val="000000"/>
          <w:sz w:val="28"/>
        </w:rPr>
        <w:t xml:space="preserve">возмещение </w:t>
      </w:r>
      <w:r>
        <w:rPr>
          <w:color w:val="000000"/>
          <w:sz w:val="28"/>
        </w:rPr>
        <w:t>затрат на развитие массовог</w:t>
      </w:r>
      <w:r>
        <w:rPr>
          <w:color w:val="000000"/>
          <w:sz w:val="28"/>
        </w:rPr>
        <w:t>о спорта» отражаются расходы по </w:t>
      </w:r>
      <w:r>
        <w:rPr>
          <w:color w:val="000000"/>
          <w:sz w:val="28"/>
        </w:rPr>
        <w:t>предоставлению субсидий некоммерческим физкультурно-спортивным организациям на возмещение затрат на развитие массового спорта.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2.2.194</w:t>
      </w:r>
      <w:r>
        <w:rPr>
          <w:sz w:val="28"/>
          <w:vertAlign w:val="superscript"/>
        </w:rPr>
        <w:t>15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«12906 Субсидии юридическим лицам на реализацию мер, направленных на восстановление объектов, включая многоквартирные жилые дома, пострадавших от действий вооруженных формирований Украины, расположенных на территории Курской области» </w:t>
      </w:r>
      <w:r>
        <w:rPr>
          <w:sz w:val="28"/>
        </w:rPr>
        <w:t xml:space="preserve">отражаются расходы на предоставление субсидии </w:t>
      </w:r>
      <w:r>
        <w:rPr>
          <w:sz w:val="28"/>
        </w:rPr>
        <w:t>юридическим лицам на реализацию мер, направленных на восстановление объектов, включая многоквартир</w:t>
      </w:r>
      <w:r>
        <w:rPr>
          <w:sz w:val="28"/>
        </w:rPr>
        <w:t>ные жилые дома, пострадавших от </w:t>
      </w:r>
      <w:r>
        <w:rPr>
          <w:sz w:val="28"/>
        </w:rPr>
        <w:t>действий вооруженных формиро</w:t>
      </w:r>
      <w:r>
        <w:rPr>
          <w:sz w:val="28"/>
        </w:rPr>
        <w:t>ваний Украины, расположенных на </w:t>
      </w:r>
      <w:r>
        <w:rPr>
          <w:sz w:val="28"/>
        </w:rPr>
        <w:t>территории Курской области</w:t>
      </w:r>
      <w:r>
        <w:rPr>
          <w:color w:val="000000"/>
          <w:sz w:val="28"/>
        </w:rPr>
        <w:t xml:space="preserve">, </w:t>
      </w:r>
      <w:r>
        <w:rPr>
          <w:sz w:val="28"/>
        </w:rPr>
        <w:t>в том</w:t>
      </w:r>
      <w:r>
        <w:rPr>
          <w:sz w:val="28"/>
        </w:rPr>
        <w:t xml:space="preserve"> числе источником финансового </w:t>
      </w:r>
      <w:r>
        <w:rPr>
          <w:sz w:val="28"/>
        </w:rPr>
        <w:t>обеспечения</w:t>
      </w:r>
      <w:r>
        <w:rPr>
          <w:sz w:val="28"/>
        </w:rPr>
        <w:t xml:space="preserve"> которых являются средства резервного фонда Правительства Курской области.».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9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«84 1 00 12901</w:t>
            </w:r>
          </w:p>
        </w:tc>
        <w:tc>
          <w:tcPr>
            <w:tcW w:type="dxa" w:w="7087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Расходы по размещению и питанию граждан Российской Федерации, постоянно проживающих на территории Курской области, вынужденно покинувших жилые помещения и находящихся в пунктах временного размещения и питания на территории Курской области, за счет резервного фонда Правительства Курской области»</w:t>
            </w:r>
          </w:p>
        </w:tc>
      </w:tr>
    </w:tbl>
    <w:p w14:paraId="1B000000">
      <w:pPr>
        <w:pStyle w:val="Style_3"/>
        <w:ind w:firstLine="709" w:left="0"/>
      </w:pPr>
      <w:r>
        <w:t>дополнить строкой следующего содержания</w:t>
      </w:r>
      <w: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73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«84 1 00 12906</w:t>
            </w:r>
          </w:p>
        </w:tc>
        <w:tc>
          <w:tcPr>
            <w:tcW w:type="dxa" w:w="7087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юридическим лицам на реализацию мер, направленных на восстановление объектов, включая многоквартирные жилые дома, пострадавших от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действий вооруженных формирований Украины, расположенных 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 Курской области»</w:t>
            </w:r>
            <w:r>
              <w:rPr>
                <w:sz w:val="28"/>
              </w:rPr>
              <w:t>;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строку: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915"/>
        <w:gridCol w:w="7156"/>
      </w:tblGrid>
      <w:tr>
        <w:tc>
          <w:tcPr>
            <w:tcW w:type="dxa" w:w="191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86 1 00 12904</w:t>
            </w:r>
          </w:p>
        </w:tc>
        <w:tc>
          <w:tcPr>
            <w:tcW w:type="dxa" w:w="715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 w:firstLine="0" w:left="79"/>
              <w:jc w:val="both"/>
              <w:rPr>
                <w:sz w:val="28"/>
              </w:rPr>
            </w:pPr>
            <w:r>
              <w:rPr>
                <w:sz w:val="28"/>
              </w:rPr>
              <w:t>Субсидии некоммерческим физкультурно-спортивным организациям на финансовое обеспечение затрат на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развитие массового спорта</w:t>
            </w:r>
            <w:r>
              <w:rPr>
                <w:sz w:val="28"/>
              </w:rPr>
              <w:t>»</w:t>
            </w:r>
          </w:p>
        </w:tc>
      </w:tr>
    </w:tbl>
    <w:p w14:paraId="2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изложить в следующей редакции: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928"/>
        <w:gridCol w:w="7348"/>
      </w:tblGrid>
      <w:tr>
        <w:tc>
          <w:tcPr>
            <w:tcW w:type="dxa" w:w="192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</w:t>
            </w:r>
            <w:r>
              <w:rPr>
                <w:color w:val="000000"/>
                <w:sz w:val="28"/>
              </w:rPr>
              <w:t>86 1 00 12904</w:t>
            </w:r>
          </w:p>
        </w:tc>
        <w:tc>
          <w:tcPr>
            <w:tcW w:type="dxa" w:w="734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 w:firstLine="0" w:left="7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Субсидии некоммерческим физкультурно-спортивным организациям на возмещение затрат на развитие массового спорта</w:t>
            </w:r>
            <w:r>
              <w:rPr>
                <w:color w:val="000000"/>
                <w:sz w:val="28"/>
              </w:rPr>
              <w:t>».</w:t>
            </w:r>
          </w:p>
        </w:tc>
      </w:tr>
    </w:tbl>
    <w:p w14:paraId="24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s_16"/>
    <w:basedOn w:val="Style_5"/>
    <w:link w:val="Style_7_ch"/>
    <w:pPr>
      <w:spacing w:afterAutospacing="on" w:beforeAutospacing="on"/>
      <w:ind/>
    </w:pPr>
  </w:style>
  <w:style w:styleId="Style_7_ch" w:type="character">
    <w:name w:val="s_16"/>
    <w:basedOn w:val="Style_5_ch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3" w:type="paragraph">
    <w:name w:val="Body Text Indent"/>
    <w:basedOn w:val="Style_5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5_ch"/>
    <w:link w:val="Style_3"/>
    <w:rPr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s_1"/>
    <w:basedOn w:val="Style_5"/>
    <w:link w:val="Style_11_ch"/>
    <w:pPr>
      <w:spacing w:afterAutospacing="on" w:beforeAutospacing="on"/>
      <w:ind/>
    </w:pPr>
  </w:style>
  <w:style w:styleId="Style_11_ch" w:type="character">
    <w:name w:val="s_1"/>
    <w:basedOn w:val="Style_5_ch"/>
    <w:link w:val="Style_11"/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Nonformat"/>
    <w:link w:val="Style_13_ch"/>
    <w:pPr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Font Style12"/>
    <w:link w:val="Style_14_ch"/>
    <w:rPr>
      <w:rFonts w:ascii="Times New Roman" w:hAnsi="Times New Roman"/>
      <w:sz w:val="30"/>
    </w:rPr>
  </w:style>
  <w:style w:styleId="Style_14_ch" w:type="character">
    <w:name w:val="Font Style12"/>
    <w:link w:val="Style_14"/>
    <w:rPr>
      <w:rFonts w:ascii="Times New Roman" w:hAnsi="Times New Roman"/>
      <w:sz w:val="30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msonormal_mr_css_attr"/>
    <w:basedOn w:val="Style_5"/>
    <w:link w:val="Style_16_ch"/>
    <w:pPr>
      <w:spacing w:afterAutospacing="on" w:beforeAutospacing="on"/>
      <w:ind/>
    </w:pPr>
  </w:style>
  <w:style w:styleId="Style_16_ch" w:type="character">
    <w:name w:val="msonormal_mr_css_attr"/>
    <w:basedOn w:val="Style_5_ch"/>
    <w:link w:val="Style_16"/>
  </w:style>
  <w:style w:styleId="Style_17" w:type="paragraph">
    <w:name w:val="Normal (Web)"/>
    <w:basedOn w:val="Style_5"/>
    <w:link w:val="Style_17_ch"/>
  </w:style>
  <w:style w:styleId="Style_17_ch" w:type="character">
    <w:name w:val="Normal (Web)"/>
    <w:basedOn w:val="Style_5_ch"/>
    <w:link w:val="Style_17"/>
  </w:style>
  <w:style w:styleId="Style_18" w:type="paragraph">
    <w:name w:val="List Paragraph"/>
    <w:basedOn w:val="Style_5"/>
    <w:link w:val="Style_1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8_ch" w:type="character">
    <w:name w:val="List Paragraph"/>
    <w:basedOn w:val="Style_5_ch"/>
    <w:link w:val="Style_18"/>
    <w:rPr>
      <w:rFonts w:ascii="Calibri" w:hAnsi="Calibri"/>
      <w:sz w:val="22"/>
    </w:rPr>
  </w:style>
  <w:style w:styleId="Style_19" w:type="paragraph">
    <w:name w:val="Style4"/>
    <w:basedOn w:val="Style_5"/>
    <w:link w:val="Style_19_ch"/>
    <w:pPr>
      <w:widowControl w:val="0"/>
      <w:spacing w:line="546" w:lineRule="exact"/>
      <w:ind w:firstLine="552" w:left="0"/>
      <w:jc w:val="both"/>
    </w:pPr>
  </w:style>
  <w:style w:styleId="Style_19_ch" w:type="character">
    <w:name w:val="Style4"/>
    <w:basedOn w:val="Style_5_ch"/>
    <w:link w:val="Style_19"/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No Spacing"/>
    <w:link w:val="Style_21_ch"/>
    <w:pPr>
      <w:spacing w:after="0" w:line="240" w:lineRule="auto"/>
      <w:ind/>
    </w:pPr>
    <w:rPr>
      <w:rFonts w:ascii="Times New Roman" w:hAnsi="Times New Roman"/>
      <w:sz w:val="28"/>
    </w:rPr>
  </w:style>
  <w:style w:styleId="Style_21_ch" w:type="character">
    <w:name w:val="No Spacing"/>
    <w:link w:val="Style_21"/>
    <w:rPr>
      <w:rFonts w:ascii="Times New Roman" w:hAnsi="Times New Roman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2" w:type="paragraph">
    <w:name w:val="ConsPlusTitlePage"/>
    <w:link w:val="Style_2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2_ch" w:type="character">
    <w:name w:val="ConsPlusTitlePage"/>
    <w:link w:val="Style_22"/>
    <w:rPr>
      <w:rFonts w:ascii="Tahoma" w:hAnsi="Tahoma"/>
      <w:sz w:val="20"/>
    </w:rPr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basedOn w:val="Style_26"/>
    <w:link w:val="Style_25_ch"/>
    <w:rPr>
      <w:color w:val="0000FF"/>
      <w:u w:val="single"/>
    </w:rPr>
  </w:style>
  <w:style w:styleId="Style_25_ch" w:type="character">
    <w:name w:val="Hyperlink"/>
    <w:basedOn w:val="Style_26_ch"/>
    <w:link w:val="Style_25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ConsPlusTitle"/>
    <w:link w:val="Style_3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2_ch" w:type="character">
    <w:name w:val="ConsPlusTitle"/>
    <w:link w:val="Style_32"/>
    <w:rPr>
      <w:rFonts w:ascii="Calibri" w:hAnsi="Calibri"/>
      <w:b w:val="1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5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5_ch"/>
    <w:link w:val="Style_35"/>
    <w:rPr>
      <w:b w:val="1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footer"/>
    <w:basedOn w:val="Style_5"/>
    <w:link w:val="Style_37_ch"/>
    <w:pPr>
      <w:tabs>
        <w:tab w:leader="none" w:pos="4677" w:val="center"/>
        <w:tab w:leader="none" w:pos="9355" w:val="right"/>
      </w:tabs>
      <w:ind/>
    </w:pPr>
  </w:style>
  <w:style w:styleId="Style_37_ch" w:type="character">
    <w:name w:val="footer"/>
    <w:basedOn w:val="Style_5_ch"/>
    <w:link w:val="Style_37"/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highlightsearch"/>
    <w:basedOn w:val="Style_26"/>
    <w:link w:val="Style_39_ch"/>
  </w:style>
  <w:style w:styleId="Style_39_ch" w:type="character">
    <w:name w:val="highlightsearch"/>
    <w:basedOn w:val="Style_26_ch"/>
    <w:link w:val="Style_39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2025-09-17T14:01:49Z</dcterms:modified>
</cp:coreProperties>
</file>