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02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комитета финансов</w:t>
      </w:r>
    </w:p>
    <w:p w14:paraId="03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Курской области</w:t>
      </w:r>
    </w:p>
    <w:p w14:paraId="04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30.06.2022 № 89н</w:t>
      </w:r>
    </w:p>
    <w:p w14:paraId="05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редакции приказа Министерства финансов </w:t>
      </w:r>
    </w:p>
    <w:p w14:paraId="06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бюджетного контроля</w:t>
      </w:r>
    </w:p>
    <w:p w14:paraId="07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Курской области </w:t>
      </w:r>
    </w:p>
    <w:p w14:paraId="08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08.08.2025 № 88н)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СОСТАВ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комиссии М</w:t>
      </w:r>
      <w:r>
        <w:rPr>
          <w:rFonts w:ascii="Times New Roman" w:hAnsi="Times New Roman"/>
          <w:b w:val="1"/>
          <w:sz w:val="28"/>
        </w:rPr>
        <w:t xml:space="preserve">инистерства финансов и бюджетного контроля 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урской области по вопросу проведения проверки соответствия кандидата квалификационным требованиям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598"/>
        <w:gridCol w:w="415"/>
        <w:gridCol w:w="6059"/>
      </w:tblGrid>
      <w:tr>
        <w:tc>
          <w:tcPr>
            <w:tcW w:type="dxa" w:w="25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Каськова</w:t>
            </w:r>
          </w:p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Елена Юрьевна</w:t>
            </w:r>
          </w:p>
        </w:tc>
        <w:tc>
          <w:tcPr>
            <w:tcW w:type="dxa" w:w="4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2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</w:p>
        </w:tc>
        <w:tc>
          <w:tcPr>
            <w:tcW w:type="dxa" w:w="605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исполняющий обязанности министра финансов и</w:t>
            </w:r>
            <w:r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бюджетного контроля Курской области (председатель комиссии)</w:t>
            </w:r>
          </w:p>
        </w:tc>
      </w:tr>
      <w:tr>
        <w:tc>
          <w:tcPr>
            <w:tcW w:type="dxa" w:w="25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Рыженкова Наталья Николаевна</w:t>
            </w:r>
          </w:p>
        </w:tc>
        <w:tc>
          <w:tcPr>
            <w:tcW w:type="dxa" w:w="4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</w:p>
        </w:tc>
        <w:tc>
          <w:tcPr>
            <w:tcW w:type="dxa" w:w="605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министра финансов 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бюджетного контроля Курской области (заместитель председателя комиссии)</w:t>
            </w:r>
          </w:p>
        </w:tc>
      </w:tr>
      <w:tr>
        <w:tc>
          <w:tcPr>
            <w:tcW w:type="dxa" w:w="25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Волобуева Татьяна Анатольевна</w:t>
            </w:r>
          </w:p>
        </w:tc>
        <w:tc>
          <w:tcPr>
            <w:tcW w:type="dxa" w:w="4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</w:p>
        </w:tc>
        <w:tc>
          <w:tcPr>
            <w:tcW w:type="dxa" w:w="605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начальника управления организационно-аналитической работы Министерства финансов и бюджетного контроля Курской области (секретарь комиссии)</w:t>
            </w:r>
          </w:p>
        </w:tc>
      </w:tr>
      <w:tr>
        <w:tc>
          <w:tcPr>
            <w:tcW w:type="dxa" w:w="25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Буровникова</w:t>
            </w:r>
          </w:p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Анна Сергеевна</w:t>
            </w:r>
          </w:p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4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</w:p>
        </w:tc>
        <w:tc>
          <w:tcPr>
            <w:tcW w:type="dxa" w:w="605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начальник управления межбюджетных отношений Министерства финансов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бюджетного контроля Курской области</w:t>
            </w:r>
          </w:p>
        </w:tc>
      </w:tr>
      <w:tr>
        <w:tc>
          <w:tcPr>
            <w:tcW w:type="dxa" w:w="25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Волкова</w:t>
            </w:r>
          </w:p>
          <w:p w14:paraId="20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Ирина Витальевна</w:t>
            </w:r>
          </w:p>
        </w:tc>
        <w:tc>
          <w:tcPr>
            <w:tcW w:type="dxa" w:w="4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</w:p>
        </w:tc>
        <w:tc>
          <w:tcPr>
            <w:tcW w:type="dxa" w:w="605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</w:t>
            </w:r>
            <w:r>
              <w:rPr>
                <w:rFonts w:ascii="Times New Roman" w:hAnsi="Times New Roman"/>
                <w:sz w:val="26"/>
              </w:rPr>
              <w:t>ачальник управления фина</w:t>
            </w:r>
            <w:r>
              <w:rPr>
                <w:rFonts w:ascii="Times New Roman" w:hAnsi="Times New Roman"/>
                <w:sz w:val="26"/>
              </w:rPr>
              <w:t>н</w:t>
            </w:r>
            <w:r>
              <w:rPr>
                <w:rFonts w:ascii="Times New Roman" w:hAnsi="Times New Roman"/>
                <w:sz w:val="26"/>
              </w:rPr>
              <w:t xml:space="preserve">сирования </w:t>
            </w:r>
            <w:r>
              <w:rPr>
                <w:rFonts w:ascii="Times New Roman" w:hAnsi="Times New Roman"/>
                <w:sz w:val="26"/>
              </w:rPr>
              <w:t>непроизводственной сферы и аппарата управления Министерства финансов и бюджетного контроля Курской области</w:t>
            </w:r>
          </w:p>
        </w:tc>
      </w:tr>
      <w:tr>
        <w:tc>
          <w:tcPr>
            <w:tcW w:type="dxa" w:w="25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Гапонова</w:t>
            </w:r>
          </w:p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Ирина Юрьевна</w:t>
            </w:r>
          </w:p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4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</w:p>
        </w:tc>
        <w:tc>
          <w:tcPr>
            <w:tcW w:type="dxa" w:w="605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министра финансов 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бюджетного контроля Курской области</w:t>
            </w:r>
            <w:r>
              <w:rPr>
                <w:rFonts w:ascii="Times New Roman" w:hAnsi="Times New Roman"/>
                <w:sz w:val="26"/>
              </w:rPr>
              <w:t xml:space="preserve"> – начальник управления контроля в сфере закупок</w:t>
            </w:r>
          </w:p>
        </w:tc>
      </w:tr>
      <w:tr>
        <w:tc>
          <w:tcPr>
            <w:tcW w:type="dxa" w:w="25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Полякова </w:t>
            </w:r>
          </w:p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Елена Александровна</w:t>
            </w:r>
          </w:p>
        </w:tc>
        <w:tc>
          <w:tcPr>
            <w:tcW w:type="dxa" w:w="4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</w:p>
        </w:tc>
        <w:tc>
          <w:tcPr>
            <w:tcW w:type="dxa" w:w="605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заместитель </w:t>
            </w:r>
            <w:r>
              <w:rPr>
                <w:rFonts w:ascii="Times New Roman" w:hAnsi="Times New Roman"/>
                <w:sz w:val="26"/>
              </w:rPr>
              <w:t>начальник</w:t>
            </w:r>
            <w:r>
              <w:rPr>
                <w:rFonts w:ascii="Times New Roman" w:hAnsi="Times New Roman"/>
                <w:sz w:val="26"/>
              </w:rPr>
              <w:t>а</w:t>
            </w:r>
            <w:r>
              <w:rPr>
                <w:rFonts w:ascii="Times New Roman" w:hAnsi="Times New Roman"/>
                <w:sz w:val="26"/>
              </w:rPr>
              <w:t xml:space="preserve"> управления межбюджетных отношений Министерства финансов и бюджетного контроля Курской области</w:t>
            </w:r>
          </w:p>
        </w:tc>
      </w:tr>
      <w:tr>
        <w:tc>
          <w:tcPr>
            <w:tcW w:type="dxa" w:w="259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Сивцева </w:t>
            </w:r>
          </w:p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Алла Дмитриевна</w:t>
            </w:r>
          </w:p>
        </w:tc>
        <w:tc>
          <w:tcPr>
            <w:tcW w:type="dxa" w:w="4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</w:p>
        </w:tc>
        <w:tc>
          <w:tcPr>
            <w:tcW w:type="dxa" w:w="605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заместитель министра финансов 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бюджетного контроля Курской области</w:t>
            </w:r>
          </w:p>
        </w:tc>
      </w:tr>
    </w:tbl>
    <w:p w14:paraId="3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701" w:right="1133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both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  <w:jc w:val="left"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List Paragraph"/>
    <w:basedOn w:val="Style_2"/>
    <w:link w:val="Style_11_ch"/>
    <w:pPr>
      <w:ind w:firstLine="0"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Hyperlink"/>
    <w:basedOn w:val="Style_13"/>
    <w:link w:val="Style_12_ch"/>
    <w:rPr>
      <w:color w:themeColor="hyperlink" w:val="0000FF"/>
      <w:u w:val="single"/>
    </w:rPr>
  </w:style>
  <w:style w:styleId="Style_12_ch" w:type="character">
    <w:name w:val="Hyperlink"/>
    <w:basedOn w:val="Style_13_ch"/>
    <w:link w:val="Style_12"/>
    <w:rPr>
      <w:color w:themeColor="hyperlink"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2025-08-08T08:22:19Z</dcterms:modified>
</cp:coreProperties>
</file>