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ind w:left="5400" w:right="-1" w:firstLine="0"/>
        <w:jc w:val="center"/>
        <w:tabs>
          <w:tab w:val="left" w:pos="1701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УТВЕРЖДАЮ</w:t>
      </w:r>
      <w:r>
        <w:rPr>
          <w:rFonts w:ascii="PT Astra Serif" w:hAnsi="PT Astra Serif" w:cs="PT Astra Serif"/>
          <w:sz w:val="28"/>
        </w:rPr>
      </w:r>
    </w:p>
    <w:p>
      <w:pPr>
        <w:pStyle w:val="640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Председатель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общественного совета при управлении по обеспечению деятельности мировых судей </w:t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640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Курской области</w:t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640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640"/>
        <w:ind w:left="5103" w:firstLine="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_____________В.Ф. Брынцев</w:t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640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cs="PT Astra Serif"/>
          <w:color w:val="000000"/>
          <w:sz w:val="28"/>
        </w:rPr>
      </w:r>
    </w:p>
    <w:p>
      <w:pPr>
        <w:pStyle w:val="640"/>
        <w:jc w:val="center"/>
        <w:rPr>
          <w:rFonts w:ascii="PT Astra Serif" w:hAnsi="PT Astra Serif" w:cs="PT Astra Serif"/>
          <w:b/>
          <w:color w:val="000000"/>
          <w:sz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ПРОТОКОЛ №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1</w:t>
      </w:r>
      <w:r>
        <w:rPr>
          <w:rFonts w:ascii="PT Astra Serif" w:hAnsi="PT Astra Serif" w:cs="PT Astra Serif"/>
          <w:b/>
          <w:color w:val="000000"/>
          <w:sz w:val="28"/>
        </w:rPr>
      </w:r>
    </w:p>
    <w:p>
      <w:pPr>
        <w:pStyle w:val="640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заседания общественного совета при </w:t>
      </w:r>
      <w:r>
        <w:rPr>
          <w:rFonts w:ascii="PT Astra Serif" w:hAnsi="PT Astra Serif" w:eastAsia="PT Astra Serif" w:cs="PT Astra Serif"/>
          <w:b/>
          <w:sz w:val="28"/>
        </w:rPr>
        <w:t xml:space="preserve">управлении по обеспечению деятельности мировых судей Курской области</w:t>
      </w:r>
      <w:r>
        <w:rPr>
          <w:rFonts w:ascii="PT Astra Serif" w:hAnsi="PT Astra Serif" w:cs="PT Astra Serif"/>
          <w:color w:val="000000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15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февраля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2024</w:t>
      </w:r>
      <w:r>
        <w:rPr>
          <w:rFonts w:ascii="PT Astra Serif" w:hAnsi="PT Astra Serif" w:eastAsia="PT Astra Serif" w:cs="PT Astra Serif"/>
          <w:sz w:val="28"/>
        </w:rPr>
        <w:t xml:space="preserve"> года             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г. Курск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</w:t>
      </w:r>
      <w:r>
        <w:rPr>
          <w:rFonts w:ascii="PT Astra Serif" w:hAnsi="PT Astra Serif" w:eastAsia="PT Astra Serif" w:cs="PT Astra Serif"/>
          <w:sz w:val="28"/>
        </w:rPr>
        <w:t xml:space="preserve">5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часов </w:t>
      </w:r>
      <w:r>
        <w:rPr>
          <w:rFonts w:ascii="PT Astra Serif" w:hAnsi="PT Astra Serif" w:eastAsia="PT Astra Serif" w:cs="PT Astra Serif"/>
          <w:sz w:val="28"/>
        </w:rPr>
        <w:t xml:space="preserve">0</w:t>
      </w:r>
      <w:r>
        <w:rPr>
          <w:rFonts w:ascii="PT Astra Serif" w:hAnsi="PT Astra Serif" w:eastAsia="PT Astra Serif" w:cs="PT Astra Serif"/>
          <w:sz w:val="28"/>
        </w:rPr>
        <w:t xml:space="preserve">0 минут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  <w:highlight w:val="yellow"/>
        </w:rPr>
      </w:pPr>
      <w:r>
        <w:rPr>
          <w:rFonts w:ascii="PT Astra Serif" w:hAnsi="PT Astra Serif" w:eastAsia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Присутствовали: 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Члены совета: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Брынцев В.Ф.,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Моргунов Ю.М.,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Самойлов А.В.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Шергунова Е.А.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Бухтияров В.Ф.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Нисонов И.И. - </w:t>
      </w:r>
      <w:r>
        <w:rPr>
          <w:rFonts w:ascii="PT Astra Serif" w:hAnsi="PT Astra Serif" w:eastAsia="PT Astra Serif" w:cs="PT Astra Serif"/>
          <w:sz w:val="28"/>
        </w:rPr>
        <w:t xml:space="preserve">начальник управления по обеспечению деятельности мировых судей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Скоморохова Е.В. – заместитель </w:t>
      </w:r>
      <w:r>
        <w:rPr>
          <w:rFonts w:ascii="PT Astra Serif" w:hAnsi="PT Astra Serif" w:eastAsia="PT Astra Serif" w:cs="PT Astra Serif"/>
          <w:sz w:val="28"/>
        </w:rPr>
        <w:t xml:space="preserve">начальник</w:t>
      </w:r>
      <w:r>
        <w:rPr>
          <w:rFonts w:ascii="PT Astra Serif" w:hAnsi="PT Astra Serif" w:eastAsia="PT Astra Serif" w:cs="PT Astra Serif"/>
          <w:sz w:val="28"/>
        </w:rPr>
        <w:t xml:space="preserve">а</w:t>
      </w:r>
      <w:r>
        <w:rPr>
          <w:rFonts w:ascii="PT Astra Serif" w:hAnsi="PT Astra Serif" w:eastAsia="PT Astra Serif" w:cs="PT Astra Serif"/>
          <w:sz w:val="28"/>
        </w:rPr>
        <w:t xml:space="preserve"> управления </w:t>
      </w:r>
      <w:r>
        <w:rPr>
          <w:rFonts w:ascii="PT Astra Serif" w:hAnsi="PT Astra Serif" w:eastAsia="PT Astra Serif" w:cs="PT Astra Serif"/>
          <w:sz w:val="28"/>
        </w:rPr>
        <w:t xml:space="preserve">– начальник отдела </w:t>
      </w:r>
      <w:r>
        <w:rPr>
          <w:rFonts w:ascii="PT Astra Serif" w:hAnsi="PT Astra Serif" w:eastAsia="PT Astra Serif" w:cs="PT Astra Serif"/>
          <w:sz w:val="28"/>
        </w:rPr>
        <w:t xml:space="preserve">организационно-правового и кадрового обеспечения управления по обеспечению деятельност</w:t>
      </w:r>
      <w:r>
        <w:rPr>
          <w:rFonts w:ascii="PT Astra Serif" w:hAnsi="PT Astra Serif" w:eastAsia="PT Astra Serif" w:cs="PT Astra Serif"/>
          <w:sz w:val="28"/>
        </w:rPr>
        <w:t xml:space="preserve">и мировых судей Курской области,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Пархоменко А.В. – </w:t>
      </w:r>
      <w:r>
        <w:rPr>
          <w:rFonts w:ascii="PT Astra Serif" w:hAnsi="PT Astra Serif" w:eastAsia="PT Astra Serif" w:cs="PT Astra Serif"/>
          <w:sz w:val="28"/>
        </w:rPr>
        <w:t xml:space="preserve">референт</w:t>
      </w:r>
      <w:r>
        <w:rPr>
          <w:rFonts w:ascii="PT Astra Serif" w:hAnsi="PT Astra Serif" w:eastAsia="PT Astra Serif" w:cs="PT Astra Serif"/>
          <w:sz w:val="28"/>
        </w:rPr>
        <w:t xml:space="preserve"> отдела организационно-правового и кадрового обеспечения управления по обеспечению деятельности мировых судей Курской области.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Не явились: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Левитская Г.Б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eastAsia="PT Astra Serif" w:cs="PT Astra Serif"/>
          <w:sz w:val="28"/>
        </w:rPr>
        <w:t xml:space="preserve">, </w:t>
      </w:r>
      <w:r>
        <w:rPr>
          <w:rFonts w:ascii="PT Astra Serif" w:hAnsi="PT Astra Serif" w:eastAsia="PT Astra Serif" w:cs="PT Astra Serif"/>
          <w:sz w:val="28"/>
        </w:rPr>
        <w:t xml:space="preserve">Чуб Н.В. </w:t>
      </w:r>
      <w:r>
        <w:rPr>
          <w:rFonts w:ascii="PT Astra Serif" w:hAnsi="PT Astra Serif" w:eastAsia="PT Astra Serif" w:cs="PT Astra Serif"/>
          <w:sz w:val="28"/>
        </w:rPr>
        <w:t xml:space="preserve">своевременно сообщил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 о невозмо</w:t>
      </w:r>
      <w:r>
        <w:rPr>
          <w:rFonts w:ascii="PT Astra Serif" w:hAnsi="PT Astra Serif" w:eastAsia="PT Astra Serif" w:cs="PT Astra Serif"/>
          <w:sz w:val="28"/>
        </w:rPr>
        <w:t xml:space="preserve">жности явки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Кворум имеется, общественный совет правомочен принимать решения.</w:t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Повестка дня:</w:t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1. </w:t>
      </w:r>
      <w:r>
        <w:rPr>
          <w:rFonts w:ascii="PT Astra Serif" w:hAnsi="PT Astra Serif" w:eastAsia="PT Astra Serif" w:cs="PT Astra Serif"/>
          <w:sz w:val="28"/>
        </w:rPr>
        <w:t xml:space="preserve">Рассмотрение доклада </w:t>
      </w:r>
      <w:r>
        <w:rPr>
          <w:rFonts w:ascii="PT Astra Serif" w:hAnsi="PT Astra Serif" w:eastAsia="PT Astra Serif" w:cs="PT Astra Serif"/>
          <w:sz w:val="28"/>
        </w:rPr>
        <w:t xml:space="preserve">об антимонопольном комплаенсе в  управлении по обеспечению деятельности мировых судей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за 20</w:t>
      </w:r>
      <w:r>
        <w:rPr>
          <w:rFonts w:ascii="PT Astra Serif" w:hAnsi="PT Astra Serif" w:eastAsia="PT Astra Serif" w:cs="PT Astra Serif"/>
          <w:sz w:val="28"/>
        </w:rPr>
        <w:t xml:space="preserve">2</w:t>
      </w:r>
      <w:r>
        <w:rPr>
          <w:rFonts w:ascii="PT Astra Serif" w:hAnsi="PT Astra Serif" w:eastAsia="PT Astra Serif" w:cs="PT Astra Serif"/>
          <w:sz w:val="28"/>
        </w:rPr>
        <w:t xml:space="preserve">3</w:t>
      </w:r>
      <w:r>
        <w:rPr>
          <w:rFonts w:ascii="PT Astra Serif" w:hAnsi="PT Astra Serif" w:eastAsia="PT Astra Serif" w:cs="PT Astra Serif"/>
          <w:sz w:val="28"/>
        </w:rPr>
        <w:t xml:space="preserve"> год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</w:rPr>
        <w:t xml:space="preserve">2. О</w:t>
      </w:r>
      <w:r>
        <w:rPr>
          <w:rFonts w:ascii="PT Astra Serif" w:hAnsi="PT Astra Serif" w:eastAsia="PT Astra Serif" w:cs="PT Astra Serif"/>
          <w:sz w:val="28"/>
        </w:rPr>
        <w:t xml:space="preserve">бсуждение общественным советом при управлении по обеспечению деятельности мировых судей Курской области работы управления в сфере противодействия коррупции за 2023 год.</w:t>
      </w: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highlight w:val="none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По вопросу №</w:t>
      </w:r>
      <w:r>
        <w:rPr>
          <w:rFonts w:ascii="PT Astra Serif" w:hAnsi="PT Astra Serif" w:eastAsia="PT Astra Serif" w:cs="PT Astra Serif"/>
          <w:b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</w:rPr>
        <w:t xml:space="preserve">1 слушали:</w:t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Скоморохову Е.В. – заместителя </w:t>
      </w:r>
      <w:r>
        <w:rPr>
          <w:rFonts w:ascii="PT Astra Serif" w:hAnsi="PT Astra Serif" w:eastAsia="PT Astra Serif" w:cs="PT Astra Serif"/>
          <w:sz w:val="28"/>
        </w:rPr>
        <w:t xml:space="preserve">начальник</w:t>
      </w:r>
      <w:r>
        <w:rPr>
          <w:rFonts w:ascii="PT Astra Serif" w:hAnsi="PT Astra Serif" w:eastAsia="PT Astra Serif" w:cs="PT Astra Serif"/>
          <w:sz w:val="28"/>
        </w:rPr>
        <w:t xml:space="preserve">а</w:t>
      </w:r>
      <w:r>
        <w:rPr>
          <w:rFonts w:ascii="PT Astra Serif" w:hAnsi="PT Astra Serif" w:eastAsia="PT Astra Serif" w:cs="PT Astra Serif"/>
          <w:sz w:val="28"/>
        </w:rPr>
        <w:t xml:space="preserve"> управления </w:t>
      </w:r>
      <w:r>
        <w:rPr>
          <w:rFonts w:ascii="PT Astra Serif" w:hAnsi="PT Astra Serif" w:eastAsia="PT Astra Serif" w:cs="PT Astra Serif"/>
          <w:sz w:val="28"/>
        </w:rPr>
        <w:t xml:space="preserve">– начальника отдела </w:t>
      </w:r>
      <w:r>
        <w:rPr>
          <w:rFonts w:ascii="PT Astra Serif" w:hAnsi="PT Astra Serif" w:eastAsia="PT Astra Serif" w:cs="PT Astra Serif"/>
          <w:sz w:val="28"/>
        </w:rPr>
        <w:t xml:space="preserve">организационно-правового и кадрового обеспечения </w:t>
      </w:r>
      <w:r>
        <w:rPr>
          <w:rFonts w:ascii="PT Astra Serif" w:hAnsi="PT Astra Serif" w:eastAsia="PT Astra Serif" w:cs="PT Astra Serif"/>
          <w:sz w:val="28"/>
        </w:rPr>
        <w:t xml:space="preserve">Управления, которая озвучила </w:t>
      </w:r>
      <w:r>
        <w:rPr>
          <w:rFonts w:ascii="PT Astra Serif" w:hAnsi="PT Astra Serif" w:eastAsia="PT Astra Serif" w:cs="PT Astra Serif"/>
          <w:sz w:val="28"/>
        </w:rPr>
        <w:t xml:space="preserve">Доклад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об антимонопольном комплаенсе в </w:t>
      </w:r>
      <w:r>
        <w:rPr>
          <w:rFonts w:ascii="PT Astra Serif" w:hAnsi="PT Astra Serif" w:eastAsia="PT Astra Serif" w:cs="PT Astra Serif"/>
          <w:sz w:val="28"/>
        </w:rPr>
        <w:t xml:space="preserve">У</w:t>
      </w:r>
      <w:r>
        <w:rPr>
          <w:rFonts w:ascii="PT Astra Serif" w:hAnsi="PT Astra Serif" w:eastAsia="PT Astra Serif" w:cs="PT Astra Serif"/>
          <w:sz w:val="28"/>
        </w:rPr>
        <w:t xml:space="preserve">правлении </w:t>
      </w:r>
      <w:r>
        <w:rPr>
          <w:rFonts w:ascii="PT Astra Serif" w:hAnsi="PT Astra Serif" w:eastAsia="PT Astra Serif" w:cs="PT Astra Serif"/>
          <w:sz w:val="28"/>
        </w:rPr>
        <w:t xml:space="preserve">за 202</w:t>
      </w:r>
      <w:r>
        <w:rPr>
          <w:rFonts w:ascii="PT Astra Serif" w:hAnsi="PT Astra Serif" w:eastAsia="PT Astra Serif" w:cs="PT Astra Serif"/>
          <w:sz w:val="28"/>
        </w:rPr>
        <w:t xml:space="preserve">3</w:t>
      </w:r>
      <w:r>
        <w:rPr>
          <w:rFonts w:ascii="PT Astra Serif" w:hAnsi="PT Astra Serif" w:eastAsia="PT Astra Serif" w:cs="PT Astra Serif"/>
          <w:sz w:val="28"/>
        </w:rPr>
        <w:t xml:space="preserve"> г.</w:t>
      </w:r>
      <w:r>
        <w:rPr>
          <w:rFonts w:ascii="PT Astra Serif" w:hAnsi="PT Astra Serif" w:cs="PT Astra Serif"/>
          <w:sz w:val="28"/>
        </w:rPr>
      </w:r>
    </w:p>
    <w:p>
      <w:pPr>
        <w:ind w:left="0"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Рассмотрев поставленный вопрос, общественный совет при управлении по обеспечению деятельности мировых судей Курской области единогласно </w:t>
      </w:r>
      <w:r>
        <w:rPr>
          <w:rFonts w:ascii="PT Astra Serif" w:hAnsi="PT Astra Serif" w:eastAsia="PT Astra Serif" w:cs="PT Astra Serif"/>
          <w:b/>
          <w:sz w:val="28"/>
        </w:rPr>
        <w:t xml:space="preserve">РЕШИЛ</w:t>
      </w:r>
      <w:r>
        <w:rPr>
          <w:rFonts w:ascii="PT Astra Serif" w:hAnsi="PT Astra Serif" w:eastAsia="PT Astra Serif" w:cs="PT Astra Serif"/>
          <w:sz w:val="28"/>
        </w:rPr>
        <w:t xml:space="preserve">:</w:t>
      </w:r>
      <w:r>
        <w:rPr>
          <w:rFonts w:ascii="PT Astra Serif" w:hAnsi="PT Astra Serif" w:cs="PT Astra Serif"/>
          <w:sz w:val="28"/>
        </w:rPr>
      </w:r>
    </w:p>
    <w:p>
      <w:pPr>
        <w:ind w:left="0" w:firstLine="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утвердить </w:t>
      </w:r>
      <w:r>
        <w:rPr>
          <w:rFonts w:ascii="PT Astra Serif" w:hAnsi="PT Astra Serif" w:eastAsia="PT Astra Serif" w:cs="PT Astra Serif"/>
          <w:sz w:val="28"/>
        </w:rPr>
        <w:t xml:space="preserve">Доклад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об антимонопольном комплаенсе в </w:t>
      </w:r>
      <w:r>
        <w:rPr>
          <w:rFonts w:ascii="PT Astra Serif" w:hAnsi="PT Astra Serif" w:eastAsia="PT Astra Serif" w:cs="PT Astra Serif"/>
          <w:sz w:val="28"/>
        </w:rPr>
        <w:t xml:space="preserve">У</w:t>
      </w:r>
      <w:r>
        <w:rPr>
          <w:rFonts w:ascii="PT Astra Serif" w:hAnsi="PT Astra Serif" w:eastAsia="PT Astra Serif" w:cs="PT Astra Serif"/>
          <w:sz w:val="28"/>
        </w:rPr>
        <w:t xml:space="preserve">правлении </w:t>
      </w:r>
      <w:r>
        <w:rPr>
          <w:rFonts w:ascii="PT Astra Serif" w:hAnsi="PT Astra Serif" w:eastAsia="PT Astra Serif" w:cs="PT Astra Serif"/>
          <w:sz w:val="28"/>
        </w:rPr>
        <w:t xml:space="preserve">за 202</w:t>
      </w:r>
      <w:r>
        <w:rPr>
          <w:rFonts w:ascii="PT Astra Serif" w:hAnsi="PT Astra Serif" w:eastAsia="PT Astra Serif" w:cs="PT Astra Serif"/>
          <w:sz w:val="28"/>
        </w:rPr>
        <w:t xml:space="preserve">3</w:t>
      </w:r>
      <w:r>
        <w:rPr>
          <w:rFonts w:ascii="PT Astra Serif" w:hAnsi="PT Astra Serif" w:eastAsia="PT Astra Serif" w:cs="PT Astra Serif"/>
          <w:sz w:val="28"/>
        </w:rPr>
        <w:t xml:space="preserve"> г.</w:t>
      </w:r>
      <w:r>
        <w:rPr>
          <w:rFonts w:ascii="PT Astra Serif" w:hAnsi="PT Astra Serif" w:cs="PT Astra Serif"/>
          <w:sz w:val="28"/>
        </w:rPr>
      </w:r>
    </w:p>
    <w:p>
      <w:pPr>
        <w:ind w:left="0"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sz w:val="28"/>
          <w:highlight w:val="none"/>
        </w:rPr>
        <w:t xml:space="preserve">По вопросу № 2 слушали: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left="0" w:firstLine="70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Скомор</w:t>
      </w:r>
      <w:r>
        <w:rPr>
          <w:rFonts w:ascii="PT Astra Serif" w:hAnsi="PT Astra Serif" w:eastAsia="PT Astra Serif" w:cs="PT Astra Serif"/>
          <w:sz w:val="28"/>
          <w:highlight w:val="none"/>
        </w:rPr>
        <w:t xml:space="preserve">охову Е.В. – заместителя начальника управления – начальника отдела организационно-правового и кадрового обеспечения управления по обеспечению деятельности мировых судей Курской области, которая представила общественному совету результаты работы Управления </w:t>
      </w:r>
      <w:r>
        <w:rPr>
          <w:rFonts w:ascii="PT Astra Serif" w:hAnsi="PT Astra Serif" w:eastAsia="PT Astra Serif" w:cs="PT Astra Serif"/>
          <w:sz w:val="28"/>
        </w:rPr>
        <w:t xml:space="preserve">в сфере противодействия коррупции за 2023 год.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Рассмотрев поставленный вопрос, общественный совет при управлении по обеспечению деятельности мировых судей Курской области единогласно РЕШИЛ: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 принять к сведению и одобрить по результатам обсуждения проводимые управлением в 2023 г. мероприятия по противодействию коррупции;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</w:t>
      </w:r>
      <w:r>
        <w:rPr>
          <w:rFonts w:ascii="PT Astra Serif" w:hAnsi="PT Astra Serif" w:eastAsia="PT Astra Serif" w:cs="PT Astra Serif"/>
          <w:sz w:val="28"/>
        </w:rPr>
        <w:t xml:space="preserve"> рекомендовать Управлению усилить контроль за соблюдением государственными гражданскими служащими Управления и судебных участков ограничений и запретов, исполнением обязанностей, установленных законодательством Российской Федерации в области противодействи</w:t>
      </w:r>
      <w:r>
        <w:rPr>
          <w:rFonts w:ascii="PT Astra Serif" w:hAnsi="PT Astra Serif" w:eastAsia="PT Astra Serif" w:cs="PT Astra Serif"/>
          <w:sz w:val="28"/>
        </w:rPr>
        <w:t xml:space="preserve">я коррупции;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 рекомендовать управлению продолжить указанную работу, усилив проведение постоянной антикоррупционной просветительской работы с работниками Управления и судебных участков с привлечением членов общественного совета и иных институтов гражданского общ</w:t>
      </w:r>
      <w:r>
        <w:rPr>
          <w:rFonts w:ascii="PT Astra Serif" w:hAnsi="PT Astra Serif" w:eastAsia="PT Astra Serif" w:cs="PT Astra Serif"/>
          <w:sz w:val="28"/>
        </w:rPr>
        <w:t xml:space="preserve">ества.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Ответственный секретарь общественного 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совета при управлении по обеспечению 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деятельности мировых судей Курской облас</w:t>
      </w:r>
      <w:r>
        <w:rPr>
          <w:rFonts w:ascii="PT Astra Serif" w:hAnsi="PT Astra Serif" w:eastAsia="PT Astra Serif" w:cs="PT Astra Serif"/>
          <w:sz w:val="28"/>
        </w:rPr>
        <w:t xml:space="preserve">ти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Е.А. Шергунова</w:t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Style w:val="661"/>
      </w:rPr>
      <w:fldChar w:fldCharType="begin"/>
    </w:r>
    <w:r>
      <w:rPr>
        <w:rStyle w:val="661"/>
      </w:rPr>
      <w:instrText xml:space="preserve">PAGE </w:instrText>
    </w:r>
    <w:r>
      <w:rPr>
        <w:rStyle w:val="661"/>
      </w:rPr>
      <w:fldChar w:fldCharType="separate"/>
    </w:r>
    <w:r>
      <w:rPr>
        <w:rStyle w:val="661"/>
      </w:rPr>
      <w:fldChar w:fldCharType="end"/>
    </w:r>
    <w:r/>
  </w:p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7"/>
    <w:link w:val="66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7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7"/>
    <w:link w:val="65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7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7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7"/>
    <w:link w:val="693"/>
    <w:uiPriority w:val="10"/>
    <w:rPr>
      <w:sz w:val="48"/>
      <w:szCs w:val="48"/>
    </w:rPr>
  </w:style>
  <w:style w:type="character" w:styleId="37">
    <w:name w:val="Subtitle Char"/>
    <w:basedOn w:val="687"/>
    <w:link w:val="689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7"/>
    <w:link w:val="697"/>
    <w:uiPriority w:val="99"/>
  </w:style>
  <w:style w:type="paragraph" w:styleId="44">
    <w:name w:val="Footer"/>
    <w:basedOn w:val="63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7"/>
    <w:link w:val="44"/>
    <w:uiPriority w:val="99"/>
  </w:style>
  <w:style w:type="paragraph" w:styleId="46">
    <w:name w:val="Caption"/>
    <w:basedOn w:val="635"/>
    <w:next w:val="6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7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7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4" w:default="1">
    <w:name w:val="Normal"/>
    <w:link w:val="635"/>
    <w:uiPriority w:val="0"/>
    <w:qFormat/>
    <w:rPr>
      <w:sz w:val="24"/>
    </w:rPr>
  </w:style>
  <w:style w:type="character" w:styleId="635" w:default="1">
    <w:name w:val="Normal"/>
    <w:link w:val="634"/>
    <w:rPr>
      <w:sz w:val="24"/>
    </w:rPr>
  </w:style>
  <w:style w:type="paragraph" w:styleId="636">
    <w:name w:val="ConsPlusCell"/>
    <w:link w:val="637"/>
    <w:rPr>
      <w:sz w:val="28"/>
    </w:rPr>
  </w:style>
  <w:style w:type="character" w:styleId="637">
    <w:name w:val="ConsPlusCell"/>
    <w:link w:val="636"/>
    <w:rPr>
      <w:sz w:val="28"/>
    </w:rPr>
  </w:style>
  <w:style w:type="paragraph" w:styleId="638">
    <w:name w:val="toc 2"/>
    <w:next w:val="634"/>
    <w:link w:val="639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39">
    <w:name w:val="toc 2"/>
    <w:link w:val="638"/>
    <w:rPr>
      <w:rFonts w:ascii="XO Thames" w:hAnsi="XO Thames"/>
      <w:sz w:val="28"/>
    </w:rPr>
  </w:style>
  <w:style w:type="paragraph" w:styleId="640">
    <w:name w:val="Default"/>
    <w:link w:val="641"/>
    <w:rPr>
      <w:color w:val="000000"/>
      <w:sz w:val="24"/>
    </w:rPr>
  </w:style>
  <w:style w:type="character" w:styleId="641">
    <w:name w:val="Default"/>
    <w:link w:val="640"/>
    <w:rPr>
      <w:color w:val="000000"/>
      <w:sz w:val="24"/>
    </w:rPr>
  </w:style>
  <w:style w:type="paragraph" w:styleId="642">
    <w:name w:val="toc 4"/>
    <w:next w:val="634"/>
    <w:link w:val="643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43">
    <w:name w:val="toc 4"/>
    <w:link w:val="642"/>
    <w:rPr>
      <w:rFonts w:ascii="XO Thames" w:hAnsi="XO Thames"/>
      <w:sz w:val="28"/>
    </w:rPr>
  </w:style>
  <w:style w:type="paragraph" w:styleId="644">
    <w:name w:val="toc 6"/>
    <w:next w:val="634"/>
    <w:link w:val="645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45">
    <w:name w:val="toc 6"/>
    <w:link w:val="644"/>
    <w:rPr>
      <w:rFonts w:ascii="XO Thames" w:hAnsi="XO Thames"/>
      <w:sz w:val="28"/>
    </w:rPr>
  </w:style>
  <w:style w:type="paragraph" w:styleId="646">
    <w:name w:val="toc 7"/>
    <w:next w:val="634"/>
    <w:link w:val="647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47">
    <w:name w:val="toc 7"/>
    <w:link w:val="646"/>
    <w:rPr>
      <w:rFonts w:ascii="XO Thames" w:hAnsi="XO Thames"/>
      <w:sz w:val="28"/>
    </w:rPr>
  </w:style>
  <w:style w:type="paragraph" w:styleId="648">
    <w:name w:val="Endnote"/>
    <w:link w:val="649"/>
    <w:pPr>
      <w:ind w:left="0" w:firstLine="851"/>
      <w:jc w:val="both"/>
    </w:pPr>
    <w:rPr>
      <w:rFonts w:ascii="XO Thames" w:hAnsi="XO Thames"/>
      <w:sz w:val="22"/>
    </w:rPr>
  </w:style>
  <w:style w:type="character" w:styleId="649">
    <w:name w:val="Endnote"/>
    <w:link w:val="648"/>
    <w:rPr>
      <w:rFonts w:ascii="XO Thames" w:hAnsi="XO Thames"/>
      <w:sz w:val="22"/>
    </w:rPr>
  </w:style>
  <w:style w:type="paragraph" w:styleId="650">
    <w:name w:val="Heading 3"/>
    <w:next w:val="634"/>
    <w:link w:val="65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51">
    <w:name w:val="Heading 3"/>
    <w:link w:val="650"/>
    <w:rPr>
      <w:rFonts w:ascii="XO Thames" w:hAnsi="XO Thames"/>
      <w:b/>
      <w:sz w:val="26"/>
    </w:rPr>
  </w:style>
  <w:style w:type="paragraph" w:styleId="652">
    <w:name w:val="ConsPlusNormal"/>
    <w:link w:val="653"/>
    <w:pPr>
      <w:widowControl w:val="off"/>
    </w:pPr>
    <w:rPr>
      <w:sz w:val="24"/>
    </w:rPr>
  </w:style>
  <w:style w:type="character" w:styleId="653">
    <w:name w:val="ConsPlusNormal"/>
    <w:link w:val="652"/>
    <w:rPr>
      <w:sz w:val="24"/>
    </w:rPr>
  </w:style>
  <w:style w:type="paragraph" w:styleId="654">
    <w:name w:val="Balloon Text"/>
    <w:basedOn w:val="634"/>
    <w:link w:val="655"/>
    <w:rPr>
      <w:rFonts w:ascii="Tahoma" w:hAnsi="Tahoma"/>
      <w:sz w:val="16"/>
    </w:rPr>
  </w:style>
  <w:style w:type="character" w:styleId="655">
    <w:name w:val="Balloon Text"/>
    <w:basedOn w:val="635"/>
    <w:link w:val="654"/>
    <w:rPr>
      <w:rFonts w:ascii="Tahoma" w:hAnsi="Tahoma"/>
      <w:sz w:val="16"/>
    </w:rPr>
  </w:style>
  <w:style w:type="paragraph" w:styleId="656">
    <w:name w:val="toc 3"/>
    <w:next w:val="634"/>
    <w:link w:val="657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57">
    <w:name w:val="toc 3"/>
    <w:link w:val="656"/>
    <w:rPr>
      <w:rFonts w:ascii="XO Thames" w:hAnsi="XO Thames"/>
      <w:sz w:val="28"/>
    </w:rPr>
  </w:style>
  <w:style w:type="paragraph" w:styleId="658">
    <w:name w:val="Heading 5"/>
    <w:next w:val="634"/>
    <w:link w:val="659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59">
    <w:name w:val="Heading 5"/>
    <w:link w:val="658"/>
    <w:rPr>
      <w:rFonts w:ascii="XO Thames" w:hAnsi="XO Thames"/>
      <w:b/>
      <w:sz w:val="22"/>
    </w:rPr>
  </w:style>
  <w:style w:type="paragraph" w:styleId="660">
    <w:name w:val="page number"/>
    <w:basedOn w:val="686"/>
    <w:link w:val="661"/>
  </w:style>
  <w:style w:type="character" w:styleId="661">
    <w:name w:val="page number"/>
    <w:basedOn w:val="687"/>
    <w:link w:val="660"/>
  </w:style>
  <w:style w:type="paragraph" w:styleId="662">
    <w:name w:val="Heading 1"/>
    <w:basedOn w:val="634"/>
    <w:link w:val="663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663">
    <w:name w:val="Heading 1"/>
    <w:basedOn w:val="635"/>
    <w:link w:val="662"/>
    <w:rPr>
      <w:b/>
      <w:sz w:val="48"/>
    </w:rPr>
  </w:style>
  <w:style w:type="paragraph" w:styleId="664">
    <w:name w:val="Hyperlink"/>
    <w:link w:val="665"/>
    <w:rPr>
      <w:color w:val="0000ff"/>
      <w:u w:val="single"/>
    </w:rPr>
  </w:style>
  <w:style w:type="character" w:styleId="665">
    <w:name w:val="Hyperlink"/>
    <w:link w:val="664"/>
    <w:rPr>
      <w:color w:val="0000ff"/>
      <w:u w:val="single"/>
    </w:rPr>
  </w:style>
  <w:style w:type="paragraph" w:styleId="666">
    <w:name w:val="Footnote"/>
    <w:link w:val="667"/>
    <w:pPr>
      <w:ind w:left="0" w:firstLine="851"/>
      <w:jc w:val="both"/>
    </w:pPr>
    <w:rPr>
      <w:rFonts w:ascii="XO Thames" w:hAnsi="XO Thames"/>
      <w:sz w:val="22"/>
    </w:rPr>
  </w:style>
  <w:style w:type="character" w:styleId="667">
    <w:name w:val="Footnote"/>
    <w:link w:val="666"/>
    <w:rPr>
      <w:rFonts w:ascii="XO Thames" w:hAnsi="XO Thames"/>
      <w:sz w:val="22"/>
    </w:rPr>
  </w:style>
  <w:style w:type="paragraph" w:styleId="668">
    <w:name w:val="toc 1"/>
    <w:next w:val="634"/>
    <w:link w:val="669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69">
    <w:name w:val="toc 1"/>
    <w:link w:val="668"/>
    <w:rPr>
      <w:rFonts w:ascii="XO Thames" w:hAnsi="XO Thames"/>
      <w:b/>
      <w:sz w:val="28"/>
    </w:rPr>
  </w:style>
  <w:style w:type="paragraph" w:styleId="670">
    <w:name w:val="Strong"/>
    <w:link w:val="671"/>
    <w:rPr>
      <w:b/>
    </w:rPr>
  </w:style>
  <w:style w:type="character" w:styleId="671">
    <w:name w:val="Strong"/>
    <w:link w:val="670"/>
    <w:rPr>
      <w:b/>
    </w:rPr>
  </w:style>
  <w:style w:type="paragraph" w:styleId="672">
    <w:name w:val="Header and Footer"/>
    <w:link w:val="673"/>
    <w:pPr>
      <w:jc w:val="both"/>
      <w:spacing w:line="240" w:lineRule="auto"/>
    </w:pPr>
    <w:rPr>
      <w:rFonts w:ascii="XO Thames" w:hAnsi="XO Thames"/>
      <w:sz w:val="20"/>
    </w:rPr>
  </w:style>
  <w:style w:type="character" w:styleId="673">
    <w:name w:val="Header and Footer"/>
    <w:link w:val="672"/>
    <w:rPr>
      <w:rFonts w:ascii="XO Thames" w:hAnsi="XO Thames"/>
      <w:sz w:val="20"/>
    </w:rPr>
  </w:style>
  <w:style w:type="paragraph" w:styleId="674">
    <w:name w:val="toc 9"/>
    <w:next w:val="634"/>
    <w:link w:val="675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75">
    <w:name w:val="toc 9"/>
    <w:link w:val="674"/>
    <w:rPr>
      <w:rFonts w:ascii="XO Thames" w:hAnsi="XO Thames"/>
      <w:sz w:val="28"/>
    </w:rPr>
  </w:style>
  <w:style w:type="paragraph" w:styleId="676">
    <w:name w:val="Основной текст (9)1"/>
    <w:basedOn w:val="634"/>
    <w:link w:val="677"/>
    <w:pPr>
      <w:jc w:val="center"/>
      <w:spacing w:before="420" w:line="245" w:lineRule="exact"/>
      <w:widowControl w:val="off"/>
    </w:pPr>
    <w:rPr>
      <w:b/>
      <w:sz w:val="19"/>
    </w:rPr>
  </w:style>
  <w:style w:type="character" w:styleId="677">
    <w:name w:val="Основной текст (9)1"/>
    <w:basedOn w:val="635"/>
    <w:link w:val="676"/>
    <w:rPr>
      <w:b/>
      <w:sz w:val="19"/>
    </w:rPr>
  </w:style>
  <w:style w:type="paragraph" w:styleId="678">
    <w:name w:val="toc 8"/>
    <w:next w:val="634"/>
    <w:link w:val="679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79">
    <w:name w:val="toc 8"/>
    <w:link w:val="678"/>
    <w:rPr>
      <w:rFonts w:ascii="XO Thames" w:hAnsi="XO Thames"/>
      <w:sz w:val="28"/>
    </w:rPr>
  </w:style>
  <w:style w:type="paragraph" w:styleId="680">
    <w:name w:val="Body Text Indent"/>
    <w:basedOn w:val="634"/>
    <w:link w:val="681"/>
    <w:pPr>
      <w:ind w:left="283" w:firstLine="0"/>
      <w:spacing w:after="120"/>
    </w:pPr>
  </w:style>
  <w:style w:type="character" w:styleId="681">
    <w:name w:val="Body Text Indent"/>
    <w:basedOn w:val="635"/>
    <w:link w:val="680"/>
  </w:style>
  <w:style w:type="paragraph" w:styleId="682">
    <w:name w:val="ConsPlusTitle"/>
    <w:link w:val="683"/>
    <w:pPr>
      <w:widowControl w:val="off"/>
    </w:pPr>
    <w:rPr>
      <w:rFonts w:ascii="Arial" w:hAnsi="Arial"/>
      <w:b/>
    </w:rPr>
  </w:style>
  <w:style w:type="character" w:styleId="683">
    <w:name w:val="ConsPlusTitle"/>
    <w:link w:val="682"/>
    <w:rPr>
      <w:rFonts w:ascii="Arial" w:hAnsi="Arial"/>
      <w:b/>
    </w:rPr>
  </w:style>
  <w:style w:type="paragraph" w:styleId="684">
    <w:name w:val="toc 5"/>
    <w:next w:val="634"/>
    <w:link w:val="685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85">
    <w:name w:val="toc 5"/>
    <w:link w:val="684"/>
    <w:rPr>
      <w:rFonts w:ascii="XO Thames" w:hAnsi="XO Thames"/>
      <w:sz w:val="28"/>
    </w:rPr>
  </w:style>
  <w:style w:type="paragraph" w:styleId="686">
    <w:name w:val="Default Paragraph Font"/>
    <w:link w:val="687"/>
  </w:style>
  <w:style w:type="character" w:styleId="687">
    <w:name w:val="Default Paragraph Font"/>
    <w:link w:val="686"/>
  </w:style>
  <w:style w:type="paragraph" w:styleId="688">
    <w:name w:val="Subtitle"/>
    <w:next w:val="634"/>
    <w:link w:val="68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89">
    <w:name w:val="Subtitle"/>
    <w:link w:val="688"/>
    <w:rPr>
      <w:rFonts w:ascii="XO Thames" w:hAnsi="XO Thames"/>
      <w:i/>
      <w:sz w:val="24"/>
    </w:rPr>
  </w:style>
  <w:style w:type="paragraph" w:styleId="690">
    <w:name w:val="Normal (Web)"/>
    <w:basedOn w:val="634"/>
    <w:link w:val="691"/>
    <w:pPr>
      <w:spacing w:beforeAutospacing="1" w:afterAutospacing="1"/>
    </w:pPr>
  </w:style>
  <w:style w:type="character" w:styleId="691">
    <w:name w:val="Normal (Web)"/>
    <w:basedOn w:val="635"/>
    <w:link w:val="690"/>
  </w:style>
  <w:style w:type="paragraph" w:styleId="692">
    <w:name w:val="Title"/>
    <w:next w:val="634"/>
    <w:link w:val="69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93">
    <w:name w:val="Title"/>
    <w:link w:val="692"/>
    <w:rPr>
      <w:rFonts w:ascii="XO Thames" w:hAnsi="XO Thames"/>
      <w:b/>
      <w:caps/>
      <w:sz w:val="40"/>
    </w:rPr>
  </w:style>
  <w:style w:type="paragraph" w:styleId="694">
    <w:name w:val="Heading 4"/>
    <w:next w:val="634"/>
    <w:link w:val="69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695">
    <w:name w:val="Heading 4"/>
    <w:link w:val="694"/>
    <w:rPr>
      <w:rFonts w:ascii="XO Thames" w:hAnsi="XO Thames"/>
      <w:b/>
      <w:sz w:val="24"/>
    </w:rPr>
  </w:style>
  <w:style w:type="paragraph" w:styleId="696">
    <w:name w:val="Header"/>
    <w:basedOn w:val="634"/>
    <w:link w:val="697"/>
    <w:pPr>
      <w:tabs>
        <w:tab w:val="center" w:pos="4677" w:leader="none"/>
        <w:tab w:val="right" w:pos="9355" w:leader="none"/>
      </w:tabs>
    </w:pPr>
  </w:style>
  <w:style w:type="character" w:styleId="697">
    <w:name w:val="Header"/>
    <w:basedOn w:val="635"/>
    <w:link w:val="696"/>
  </w:style>
  <w:style w:type="paragraph" w:styleId="698">
    <w:name w:val="Heading 2"/>
    <w:next w:val="634"/>
    <w:link w:val="699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99">
    <w:name w:val="Heading 2"/>
    <w:link w:val="698"/>
    <w:rPr>
      <w:rFonts w:ascii="XO Thames" w:hAnsi="XO Thames"/>
      <w:b/>
      <w:sz w:val="28"/>
    </w:rPr>
  </w:style>
  <w:style w:type="table" w:styleId="70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"/>
    <w:basedOn w:val="7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2024-02-20T09:15:50Z</dcterms:modified>
</cp:coreProperties>
</file>