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2000000">
      <w:pPr>
        <w:ind w:firstLine="709" w:left="0"/>
        <w:jc w:val="both"/>
        <w:rPr>
          <w:sz w:val="28"/>
          <w:highlight w:val="yellow"/>
        </w:rPr>
      </w:pPr>
      <w:r>
        <w:rPr>
          <w:sz w:val="28"/>
          <w:highlight w:val="yellow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layoutInCell="true" locked="false" relativeHeight="251658240" simplePos="false">
                <wp:simplePos x="0" y="0"/>
                <wp:positionH relativeFrom="column">
                  <wp:posOffset>2927350</wp:posOffset>
                </wp:positionH>
                <wp:positionV relativeFrom="paragraph">
                  <wp:posOffset>29844</wp:posOffset>
                </wp:positionV>
                <wp:extent cx="2894330" cy="1144905"/>
                <wp:wrapNone/>
                <wp:docPr hidden="false" id="1" name="Picture 1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2894330" cy="1144905"/>
                        </a:xfrm>
                        <a:custGeom>
                          <a:avLst/>
                          <a:gdLst>
                            <a:gd fmla="val 0" name="COTextRectL"/>
                            <a:gd fmla="val 0" name="COTextRectT"/>
                            <a:gd fmla="val 1" name="COTextRectR"/>
                            <a:gd fmla="val 1" name="COTextRectB"/>
                            <a:gd fmla="val 0" name="ODFLeft"/>
                            <a:gd fmla="val 0" name="ODFTop"/>
                            <a:gd fmla="val 21600" name="ODFRight"/>
                            <a:gd fmla="val 21600" name="ODFBottom"/>
                            <a:gd fmla="val 21600" name="ODFWidth"/>
                            <a:gd fmla="val 21600" name="ODFHeight"/>
                            <a:gd fmla="*/ COTextRectL w 1" name="OXMLTextRectL"/>
                            <a:gd fmla="*/ COTextRectT h 1" name="OXMLTextRectT"/>
                            <a:gd fmla="*/ COTextRectR w 1" name="OXMLTextRectR"/>
                            <a:gd fmla="*/ COTextRectB h 1" name="OXMLTextRectB"/>
                          </a:gdLst>
                          <a:rect b="OXMLTextRectB" l="OXMLTextRectL" r="OXMLTextRectR" t="OXMLTextRectT"/>
                          <a:pathLst>
                            <a:path fill="norm" h="21600" stroke="true" w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3000000">
                            <w:pPr>
                              <w:pStyle w:val="Style_2"/>
                              <w:ind/>
                              <w:jc w:val="both"/>
                            </w:pPr>
                            <w:r>
                              <w:t>УТВЕРЖДЕНЫ</w:t>
                            </w:r>
                          </w:p>
                          <w:p w14:paraId="04000000">
                            <w:pPr>
                              <w:pStyle w:val="Style_2"/>
                            </w:pPr>
                            <w:r>
                              <w:t>приказом Министерства финансов и бюджетного контроля</w:t>
                            </w:r>
                          </w:p>
                          <w:p w14:paraId="05000000">
                            <w:pPr>
                              <w:pStyle w:val="Style_2"/>
                            </w:pPr>
                            <w:r>
                              <w:t>Курской области</w:t>
                            </w:r>
                          </w:p>
                          <w:p w14:paraId="06000000">
                            <w:pPr>
                              <w:pStyle w:val="Style_2"/>
                              <w:ind/>
                              <w:jc w:val="both"/>
                            </w:pPr>
                            <w:r>
                              <w:t>от</w:t>
                            </w:r>
                            <w:r>
                              <w:t xml:space="preserve"> 22.08.2025</w:t>
                            </w:r>
                            <w:r>
                              <w:t xml:space="preserve"> № 95н</w:t>
                            </w:r>
                          </w:p>
                        </w:txbxContent>
                      </wps:txbx>
                      <wps:bodyPr anchor="t" bIns="45720" lIns="91440" rIns="91440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07000000">
      <w:pPr>
        <w:ind w:firstLine="709" w:left="0"/>
        <w:jc w:val="both"/>
        <w:rPr>
          <w:sz w:val="28"/>
          <w:highlight w:val="yellow"/>
        </w:rPr>
      </w:pPr>
    </w:p>
    <w:p w14:paraId="08000000">
      <w:pPr>
        <w:ind w:firstLine="709" w:left="0"/>
        <w:jc w:val="both"/>
        <w:rPr>
          <w:sz w:val="28"/>
          <w:highlight w:val="yellow"/>
        </w:rPr>
      </w:pPr>
    </w:p>
    <w:p w14:paraId="09000000">
      <w:pPr>
        <w:ind w:firstLine="709" w:left="0"/>
        <w:jc w:val="both"/>
        <w:rPr>
          <w:sz w:val="28"/>
          <w:highlight w:val="yellow"/>
        </w:rPr>
      </w:pPr>
    </w:p>
    <w:p w14:paraId="0A000000">
      <w:pPr>
        <w:ind/>
        <w:jc w:val="both"/>
        <w:rPr>
          <w:sz w:val="28"/>
          <w:highlight w:val="yellow"/>
        </w:rPr>
      </w:pPr>
    </w:p>
    <w:p w14:paraId="0B000000">
      <w:pPr>
        <w:ind w:firstLine="709" w:left="0"/>
        <w:jc w:val="both"/>
        <w:rPr>
          <w:sz w:val="28"/>
          <w:highlight w:val="yellow"/>
        </w:rPr>
      </w:pPr>
    </w:p>
    <w:p w14:paraId="0C000000">
      <w:pPr>
        <w:ind/>
        <w:jc w:val="center"/>
        <w:rPr>
          <w:b w:val="1"/>
        </w:rPr>
      </w:pPr>
    </w:p>
    <w:p w14:paraId="0D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ИЗМЕНЕНИ</w:t>
      </w:r>
      <w:r>
        <w:rPr>
          <w:b w:val="1"/>
          <w:sz w:val="28"/>
        </w:rPr>
        <w:t>Я</w:t>
      </w:r>
      <w:r>
        <w:rPr>
          <w:b w:val="1"/>
          <w:sz w:val="28"/>
        </w:rPr>
        <w:t>,</w:t>
      </w:r>
    </w:p>
    <w:p w14:paraId="0E000000">
      <w:pPr>
        <w:ind w:firstLine="709" w:left="0"/>
        <w:jc w:val="center"/>
        <w:rPr>
          <w:b w:val="1"/>
          <w:sz w:val="28"/>
        </w:rPr>
      </w:pPr>
      <w:r>
        <w:rPr>
          <w:b w:val="1"/>
          <w:sz w:val="28"/>
        </w:rPr>
        <w:t>котор</w:t>
      </w:r>
      <w:r>
        <w:rPr>
          <w:b w:val="1"/>
          <w:sz w:val="28"/>
        </w:rPr>
        <w:t>ы</w:t>
      </w:r>
      <w:r>
        <w:rPr>
          <w:b w:val="1"/>
          <w:sz w:val="28"/>
        </w:rPr>
        <w:t>е</w:t>
      </w:r>
      <w:r>
        <w:rPr>
          <w:b w:val="1"/>
          <w:sz w:val="28"/>
        </w:rPr>
        <w:t xml:space="preserve"> внос</w:t>
      </w:r>
      <w:r>
        <w:rPr>
          <w:b w:val="1"/>
          <w:sz w:val="28"/>
        </w:rPr>
        <w:t>я</w:t>
      </w:r>
      <w:r>
        <w:rPr>
          <w:b w:val="1"/>
          <w:sz w:val="28"/>
        </w:rPr>
        <w:t>тся в п</w:t>
      </w:r>
      <w:r>
        <w:rPr>
          <w:b w:val="1"/>
          <w:sz w:val="28"/>
        </w:rPr>
        <w:t xml:space="preserve">риказ </w:t>
      </w:r>
      <w:r>
        <w:rPr>
          <w:b w:val="1"/>
          <w:sz w:val="28"/>
        </w:rPr>
        <w:t>М</w:t>
      </w:r>
      <w:r>
        <w:rPr>
          <w:b w:val="1"/>
          <w:sz w:val="28"/>
        </w:rPr>
        <w:t>инистерства</w:t>
      </w:r>
      <w:r>
        <w:rPr>
          <w:b w:val="1"/>
          <w:sz w:val="28"/>
        </w:rPr>
        <w:t xml:space="preserve"> финансов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br/>
      </w:r>
      <w:r>
        <w:rPr>
          <w:b w:val="1"/>
          <w:sz w:val="28"/>
        </w:rPr>
        <w:t>и бюджетного контроля</w:t>
      </w:r>
      <w:r>
        <w:rPr>
          <w:b w:val="1"/>
          <w:sz w:val="28"/>
        </w:rPr>
        <w:t xml:space="preserve"> Курской</w:t>
      </w:r>
      <w:r>
        <w:rPr>
          <w:b w:val="1"/>
          <w:sz w:val="28"/>
        </w:rPr>
        <w:t xml:space="preserve"> области от </w:t>
      </w:r>
      <w:r>
        <w:rPr>
          <w:b w:val="1"/>
          <w:sz w:val="28"/>
        </w:rPr>
        <w:t>12</w:t>
      </w:r>
      <w:r>
        <w:rPr>
          <w:b w:val="1"/>
          <w:sz w:val="28"/>
        </w:rPr>
        <w:t>.1</w:t>
      </w:r>
      <w:r>
        <w:rPr>
          <w:b w:val="1"/>
          <w:sz w:val="28"/>
        </w:rPr>
        <w:t>2</w:t>
      </w:r>
      <w:r>
        <w:rPr>
          <w:b w:val="1"/>
          <w:sz w:val="28"/>
        </w:rPr>
        <w:t>.20</w:t>
      </w:r>
      <w:r>
        <w:rPr>
          <w:b w:val="1"/>
          <w:sz w:val="28"/>
        </w:rPr>
        <w:t>2</w:t>
      </w:r>
      <w:r>
        <w:rPr>
          <w:b w:val="1"/>
          <w:sz w:val="28"/>
        </w:rPr>
        <w:t>4</w:t>
      </w:r>
      <w:r>
        <w:rPr>
          <w:b w:val="1"/>
          <w:sz w:val="28"/>
        </w:rPr>
        <w:t xml:space="preserve"> № </w:t>
      </w:r>
      <w:r>
        <w:rPr>
          <w:b w:val="1"/>
          <w:sz w:val="28"/>
        </w:rPr>
        <w:t>1</w:t>
      </w:r>
      <w:r>
        <w:rPr>
          <w:b w:val="1"/>
          <w:sz w:val="28"/>
        </w:rPr>
        <w:t>02</w:t>
      </w:r>
      <w:r>
        <w:rPr>
          <w:b w:val="1"/>
          <w:sz w:val="28"/>
        </w:rPr>
        <w:t>н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br/>
      </w:r>
      <w:r>
        <w:rPr>
          <w:b w:val="1"/>
          <w:sz w:val="28"/>
        </w:rPr>
        <w:t>«Об утверждении Порядка формирования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>и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>применения кодов бюджетной классификации Российской Федерации в части, относящейся к областному бюджету и бюджету территориального фонда обязательного медицинского страхования Курской области»</w:t>
      </w:r>
    </w:p>
    <w:p w14:paraId="0F000000">
      <w:pPr>
        <w:ind w:firstLine="567" w:left="0"/>
        <w:jc w:val="both"/>
        <w:rPr>
          <w:sz w:val="28"/>
        </w:rPr>
      </w:pPr>
    </w:p>
    <w:p w14:paraId="10000000">
      <w:pPr>
        <w:ind w:firstLine="709" w:left="0"/>
        <w:jc w:val="both"/>
        <w:rPr>
          <w:sz w:val="28"/>
        </w:rPr>
      </w:pPr>
      <w:r>
        <w:rPr>
          <w:sz w:val="28"/>
        </w:rPr>
        <w:t xml:space="preserve">В Порядке </w:t>
      </w:r>
      <w:r>
        <w:rPr>
          <w:sz w:val="28"/>
        </w:rPr>
        <w:t xml:space="preserve">формирования и применения кодов бюджетной классификации Российской Федерации в части, относящейся к областному бюджету и бюджету территориального фонда обязательного медицинского </w:t>
      </w:r>
      <w:r>
        <w:rPr>
          <w:sz w:val="28"/>
        </w:rPr>
        <w:t>страхования Курской области, утвержденном указанным приказом:</w:t>
      </w:r>
    </w:p>
    <w:p w14:paraId="11000000">
      <w:pPr>
        <w:ind w:firstLine="709" w:left="0"/>
        <w:jc w:val="both"/>
        <w:rPr>
          <w:sz w:val="28"/>
        </w:rPr>
      </w:pPr>
      <w:r>
        <w:rPr>
          <w:sz w:val="28"/>
        </w:rPr>
        <w:t>1</w:t>
      </w:r>
      <w:r>
        <w:rPr>
          <w:sz w:val="28"/>
        </w:rPr>
        <w:t>. </w:t>
      </w:r>
      <w:r>
        <w:rPr>
          <w:sz w:val="28"/>
        </w:rPr>
        <w:t>Подпункт 2.</w:t>
      </w:r>
      <w:r>
        <w:rPr>
          <w:sz w:val="28"/>
        </w:rPr>
        <w:t>2</w:t>
      </w:r>
      <w:r>
        <w:rPr>
          <w:sz w:val="28"/>
        </w:rPr>
        <w:t xml:space="preserve"> </w:t>
      </w:r>
      <w:r>
        <w:rPr>
          <w:sz w:val="28"/>
        </w:rPr>
        <w:t>пункта</w:t>
      </w:r>
      <w:r>
        <w:rPr>
          <w:sz w:val="28"/>
        </w:rPr>
        <w:t xml:space="preserve"> 2 раздела </w:t>
      </w:r>
      <w:r>
        <w:rPr>
          <w:sz w:val="28"/>
        </w:rPr>
        <w:t>II</w:t>
      </w:r>
      <w:r>
        <w:rPr>
          <w:sz w:val="28"/>
        </w:rPr>
        <w:t xml:space="preserve"> «Классификация расходов областного </w:t>
      </w:r>
      <w:r>
        <w:rPr>
          <w:sz w:val="28"/>
        </w:rPr>
        <w:t>бюджета»</w:t>
      </w:r>
      <w:r>
        <w:rPr>
          <w:sz w:val="28"/>
        </w:rPr>
        <w:t xml:space="preserve"> дополнить </w:t>
      </w:r>
      <w:r>
        <w:rPr>
          <w:sz w:val="28"/>
        </w:rPr>
        <w:t>подпунктами</w:t>
      </w:r>
      <w:r>
        <w:rPr>
          <w:sz w:val="28"/>
        </w:rPr>
        <w:t xml:space="preserve"> 2.2.2</w:t>
      </w:r>
      <w:r>
        <w:rPr>
          <w:sz w:val="28"/>
        </w:rPr>
        <w:t>43</w:t>
      </w:r>
      <w:r>
        <w:rPr>
          <w:sz w:val="28"/>
          <w:vertAlign w:val="superscript"/>
        </w:rPr>
        <w:t>2</w:t>
      </w:r>
      <w:r>
        <w:rPr>
          <w:sz w:val="28"/>
        </w:rPr>
        <w:t xml:space="preserve"> </w:t>
      </w:r>
      <w:r>
        <w:rPr>
          <w:sz w:val="28"/>
        </w:rPr>
        <w:t xml:space="preserve">и </w:t>
      </w:r>
      <w:r>
        <w:rPr>
          <w:sz w:val="28"/>
        </w:rPr>
        <w:t>2.2.2</w:t>
      </w:r>
      <w:r>
        <w:rPr>
          <w:sz w:val="28"/>
        </w:rPr>
        <w:t>43</w:t>
      </w:r>
      <w:r>
        <w:rPr>
          <w:sz w:val="28"/>
          <w:vertAlign w:val="superscript"/>
        </w:rPr>
        <w:t>3</w:t>
      </w:r>
      <w:r>
        <w:rPr>
          <w:sz w:val="28"/>
        </w:rPr>
        <w:t xml:space="preserve"> </w:t>
      </w:r>
      <w:r>
        <w:rPr>
          <w:sz w:val="28"/>
        </w:rPr>
        <w:t>следующего</w:t>
      </w:r>
      <w:r>
        <w:rPr>
          <w:sz w:val="28"/>
        </w:rPr>
        <w:t xml:space="preserve"> содержания:</w:t>
      </w:r>
    </w:p>
    <w:p w14:paraId="12000000">
      <w:pPr>
        <w:ind w:firstLine="709" w:left="0"/>
        <w:jc w:val="both"/>
        <w:rPr>
          <w:sz w:val="28"/>
        </w:rPr>
      </w:pPr>
      <w:r>
        <w:rPr>
          <w:sz w:val="28"/>
        </w:rPr>
        <w:t>«</w:t>
      </w:r>
      <w:r>
        <w:rPr>
          <w:sz w:val="28"/>
        </w:rPr>
        <w:t>2.2.</w:t>
      </w:r>
      <w:r>
        <w:rPr>
          <w:sz w:val="28"/>
        </w:rPr>
        <w:t>243</w:t>
      </w:r>
      <w:r>
        <w:rPr>
          <w:sz w:val="28"/>
          <w:vertAlign w:val="superscript"/>
        </w:rPr>
        <w:t>2</w:t>
      </w:r>
      <w:r>
        <w:rPr>
          <w:sz w:val="28"/>
        </w:rPr>
        <w:t>. </w:t>
      </w:r>
      <w:r>
        <w:rPr>
          <w:sz w:val="28"/>
        </w:rPr>
        <w:t>По направлению расходов</w:t>
      </w:r>
      <w:r>
        <w:rPr>
          <w:sz w:val="28"/>
        </w:rPr>
        <w:t xml:space="preserve"> «</w:t>
      </w:r>
      <w:r>
        <w:rPr>
          <w:sz w:val="28"/>
        </w:rPr>
        <w:t>R</w:t>
      </w:r>
      <w:r>
        <w:rPr>
          <w:sz w:val="28"/>
        </w:rPr>
        <w:t>8230 Предоставление выплат гражданам на осуществление капитального ремонта жилых помещений, поврежденных в результате обстрелов со стороны вооруженных формирований Украины» отражаются расходы областного бюджета, в том числе источником финансового обеспечения которых являются средства резервного фонда Правите</w:t>
      </w:r>
      <w:r>
        <w:rPr>
          <w:sz w:val="28"/>
        </w:rPr>
        <w:t>льства Российской Федерации, на </w:t>
      </w:r>
      <w:r>
        <w:rPr>
          <w:sz w:val="28"/>
        </w:rPr>
        <w:t>предоставление выплат гражданам на осуществление капитального ремонта жилых помещений, поврежденных в результате обстрелов с</w:t>
      </w:r>
      <w:r>
        <w:rPr>
          <w:sz w:val="28"/>
        </w:rPr>
        <w:t>о </w:t>
      </w:r>
      <w:r>
        <w:rPr>
          <w:sz w:val="28"/>
        </w:rPr>
        <w:t>стороны вооруженных формирований Украины</w:t>
      </w:r>
      <w:r>
        <w:rPr>
          <w:sz w:val="28"/>
        </w:rPr>
        <w:t>.</w:t>
      </w:r>
    </w:p>
    <w:p w14:paraId="13000000">
      <w:pPr>
        <w:ind w:firstLine="709" w:left="0"/>
        <w:jc w:val="both"/>
        <w:rPr>
          <w:sz w:val="28"/>
        </w:rPr>
      </w:pPr>
      <w:r>
        <w:rPr>
          <w:sz w:val="28"/>
        </w:rPr>
        <w:t>2.2.</w:t>
      </w:r>
      <w:r>
        <w:rPr>
          <w:sz w:val="28"/>
        </w:rPr>
        <w:t>243</w:t>
      </w:r>
      <w:r>
        <w:rPr>
          <w:sz w:val="28"/>
          <w:vertAlign w:val="superscript"/>
        </w:rPr>
        <w:t>3</w:t>
      </w:r>
      <w:r>
        <w:rPr>
          <w:sz w:val="28"/>
        </w:rPr>
        <w:t>. </w:t>
      </w:r>
      <w:r>
        <w:rPr>
          <w:sz w:val="28"/>
        </w:rPr>
        <w:t>По направлению расходов «</w:t>
      </w:r>
      <w:r>
        <w:rPr>
          <w:sz w:val="28"/>
        </w:rPr>
        <w:t>R</w:t>
      </w:r>
      <w:r>
        <w:rPr>
          <w:sz w:val="28"/>
        </w:rPr>
        <w:t>8290</w:t>
      </w:r>
      <w:r>
        <w:rPr>
          <w:sz w:val="28"/>
        </w:rPr>
        <w:t> </w:t>
      </w:r>
      <w:r>
        <w:rPr>
          <w:sz w:val="28"/>
        </w:rPr>
        <w:t>Софинансирование</w:t>
      </w:r>
      <w:r>
        <w:rPr>
          <w:sz w:val="28"/>
        </w:rPr>
        <w:t xml:space="preserve"> расходных обязательств по финансовому обеспечению реализации мероприятий по восстановлен</w:t>
      </w:r>
      <w:r>
        <w:rPr>
          <w:sz w:val="28"/>
        </w:rPr>
        <w:t>ию утраченных жилых помещений в </w:t>
      </w:r>
      <w:r>
        <w:rPr>
          <w:sz w:val="28"/>
        </w:rPr>
        <w:t xml:space="preserve">многоквартирном доме» </w:t>
      </w:r>
      <w:r>
        <w:rPr>
          <w:color w:val="000000"/>
          <w:sz w:val="28"/>
        </w:rPr>
        <w:t xml:space="preserve">отражаются расходы областного бюджета, </w:t>
      </w:r>
      <w:r>
        <w:rPr>
          <w:sz w:val="28"/>
        </w:rPr>
        <w:t>в том числе источником финансового обеспечения которых являются средства резервного фонда Правите</w:t>
      </w:r>
      <w:r>
        <w:rPr>
          <w:sz w:val="28"/>
        </w:rPr>
        <w:t>льства Российской Федерации, на </w:t>
      </w:r>
      <w:r>
        <w:rPr>
          <w:sz w:val="28"/>
        </w:rPr>
        <w:t>софинансирование</w:t>
      </w:r>
      <w:r>
        <w:rPr>
          <w:sz w:val="28"/>
        </w:rPr>
        <w:t xml:space="preserve"> расходных обязательств по финансовому обеспечению реализации мероприятий по восстановлению утраченных жилых помещений в многоквартирном доме</w:t>
      </w:r>
      <w:r>
        <w:rPr>
          <w:sz w:val="28"/>
        </w:rPr>
        <w:t>.</w:t>
      </w:r>
      <w:r>
        <w:rPr>
          <w:sz w:val="28"/>
        </w:rPr>
        <w:t>».</w:t>
      </w:r>
    </w:p>
    <w:p w14:paraId="14000000">
      <w:pPr>
        <w:ind w:firstLine="709" w:left="0"/>
        <w:jc w:val="both"/>
        <w:rPr>
          <w:sz w:val="28"/>
        </w:rPr>
      </w:pPr>
      <w:r>
        <w:rPr>
          <w:sz w:val="28"/>
        </w:rPr>
        <w:t>2</w:t>
      </w:r>
      <w:r>
        <w:rPr>
          <w:sz w:val="28"/>
        </w:rPr>
        <w:t>.</w:t>
      </w:r>
      <w:r>
        <w:rPr>
          <w:sz w:val="28"/>
        </w:rPr>
        <w:t> </w:t>
      </w:r>
      <w:r>
        <w:rPr>
          <w:sz w:val="28"/>
        </w:rPr>
        <w:t xml:space="preserve">В </w:t>
      </w:r>
      <w:r>
        <w:rPr>
          <w:sz w:val="28"/>
        </w:rPr>
        <w:t>Приложении 1 к указанному Порядку</w:t>
      </w:r>
      <w:r>
        <w:rPr>
          <w:sz w:val="28"/>
        </w:rPr>
        <w:t xml:space="preserve"> после строки:</w:t>
      </w:r>
    </w:p>
    <w:tbl>
      <w:tblPr>
        <w:tblStyle w:val="Style_3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2189"/>
        <w:gridCol w:w="6945"/>
      </w:tblGrid>
      <w:tr>
        <w:trPr>
          <w:trHeight w:hRule="atLeast" w:val="591"/>
        </w:trPr>
        <w:tc>
          <w:tcPr>
            <w:tcW w:type="dxa" w:w="2189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5000000">
            <w:pPr>
              <w:rPr>
                <w:sz w:val="28"/>
              </w:rPr>
            </w:pPr>
            <w:r>
              <w:rPr>
                <w:sz w:val="28"/>
              </w:rPr>
              <w:t>«</w:t>
            </w:r>
            <w:r>
              <w:rPr>
                <w:sz w:val="28"/>
              </w:rPr>
              <w:t>86 1 00 R8120</w:t>
            </w:r>
          </w:p>
          <w:p w14:paraId="16000000">
            <w:pPr>
              <w:rPr>
                <w:sz w:val="28"/>
              </w:rPr>
            </w:pPr>
          </w:p>
        </w:tc>
        <w:tc>
          <w:tcPr>
            <w:tcW w:type="dxa" w:w="6945"/>
            <w:tcBorders>
              <w:lef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7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Возмещение части потерь в доходах регионального оператора по обращению с твердыми коммунальными отходами в юго-западной зоне, возникающих в связи с</w:t>
            </w:r>
            <w:r>
              <w:rPr>
                <w:sz w:val="28"/>
              </w:rPr>
              <w:t> </w:t>
            </w:r>
            <w:r>
              <w:rPr>
                <w:sz w:val="28"/>
              </w:rPr>
              <w:t xml:space="preserve">приостановлением начисления платы </w:t>
            </w:r>
            <w:r>
              <w:rPr>
                <w:sz w:val="28"/>
              </w:rPr>
              <w:t>за</w:t>
            </w:r>
            <w:r>
              <w:rPr>
                <w:sz w:val="28"/>
              </w:rPr>
              <w:t> </w:t>
            </w:r>
            <w:r>
              <w:rPr>
                <w:sz w:val="28"/>
              </w:rPr>
              <w:t>коммунальную услугу по обращению с твердыми коммунальными отходами на отдельных территориях Курской области</w:t>
            </w:r>
            <w:r>
              <w:rPr>
                <w:sz w:val="28"/>
              </w:rPr>
              <w:t>»</w:t>
            </w:r>
          </w:p>
        </w:tc>
      </w:tr>
    </w:tbl>
    <w:p w14:paraId="18000000">
      <w:pPr>
        <w:pStyle w:val="Style_4"/>
        <w:ind w:firstLine="709" w:left="0"/>
      </w:pPr>
      <w:r>
        <w:t>дополнить строк</w:t>
      </w:r>
      <w:r>
        <w:t>ами</w:t>
      </w:r>
      <w:r>
        <w:t xml:space="preserve"> следующего содержания:</w:t>
      </w:r>
    </w:p>
    <w:tbl>
      <w:tblPr>
        <w:tblStyle w:val="Style_3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2189"/>
        <w:gridCol w:w="6945"/>
      </w:tblGrid>
      <w:tr>
        <w:trPr>
          <w:trHeight w:hRule="atLeast" w:val="734"/>
        </w:trPr>
        <w:tc>
          <w:tcPr>
            <w:tcW w:type="dxa" w:w="2189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9000000">
            <w:pPr>
              <w:spacing w:line="480" w:lineRule="auto"/>
              <w:ind/>
              <w:rPr>
                <w:sz w:val="28"/>
              </w:rPr>
            </w:pPr>
            <w:r>
              <w:rPr>
                <w:sz w:val="28"/>
              </w:rPr>
              <w:t>«</w:t>
            </w:r>
            <w:r>
              <w:rPr>
                <w:sz w:val="28"/>
              </w:rPr>
              <w:t xml:space="preserve">86 1 00 </w:t>
            </w:r>
            <w:r>
              <w:rPr>
                <w:sz w:val="28"/>
              </w:rPr>
              <w:t>R8230</w:t>
            </w:r>
          </w:p>
        </w:tc>
        <w:tc>
          <w:tcPr>
            <w:tcW w:type="dxa" w:w="6945"/>
            <w:tcBorders>
              <w:lef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A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Предоставление выплат гражданам на осуществление капитального ремонта жилых помещений, поврежденных в результате обстрелов со стороны вооруженных формирований Украины</w:t>
            </w:r>
          </w:p>
        </w:tc>
      </w:tr>
      <w:tr>
        <w:trPr>
          <w:trHeight w:hRule="atLeast" w:val="734"/>
        </w:trPr>
        <w:tc>
          <w:tcPr>
            <w:tcW w:type="dxa" w:w="2189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B000000">
            <w:pPr>
              <w:spacing w:line="276" w:lineRule="auto"/>
              <w:ind/>
              <w:rPr>
                <w:sz w:val="28"/>
              </w:rPr>
            </w:pPr>
            <w:r>
              <w:rPr>
                <w:sz w:val="28"/>
              </w:rPr>
              <w:t xml:space="preserve">86 1 00 </w:t>
            </w:r>
            <w:r>
              <w:rPr>
                <w:sz w:val="28"/>
              </w:rPr>
              <w:t>R8290</w:t>
            </w:r>
          </w:p>
        </w:tc>
        <w:tc>
          <w:tcPr>
            <w:tcW w:type="dxa" w:w="6945"/>
            <w:tcBorders>
              <w:lef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C000000">
            <w:pPr>
              <w:ind/>
              <w:jc w:val="both"/>
              <w:rPr>
                <w:color w:val="000000"/>
                <w:sz w:val="28"/>
              </w:rPr>
            </w:pPr>
            <w:r>
              <w:rPr>
                <w:sz w:val="28"/>
              </w:rPr>
              <w:t>Софинансирование</w:t>
            </w:r>
            <w:r>
              <w:rPr>
                <w:sz w:val="28"/>
              </w:rPr>
              <w:t xml:space="preserve"> расходных обязательств по</w:t>
            </w:r>
            <w:r>
              <w:rPr>
                <w:sz w:val="28"/>
              </w:rPr>
              <w:t> </w:t>
            </w:r>
            <w:r>
              <w:rPr>
                <w:sz w:val="28"/>
              </w:rPr>
              <w:t>финансовому обеспечению реализации мероприятий по восстановлению утраченных жилых помещений в</w:t>
            </w:r>
            <w:r>
              <w:rPr>
                <w:sz w:val="28"/>
              </w:rPr>
              <w:t> </w:t>
            </w:r>
            <w:r>
              <w:rPr>
                <w:sz w:val="28"/>
              </w:rPr>
              <w:t>многоквартирном доме</w:t>
            </w:r>
            <w:r>
              <w:rPr>
                <w:sz w:val="28"/>
              </w:rPr>
              <w:t>».</w:t>
            </w:r>
          </w:p>
        </w:tc>
      </w:tr>
    </w:tbl>
    <w:p w14:paraId="1D000000">
      <w:pPr>
        <w:ind/>
        <w:jc w:val="both"/>
        <w:rPr>
          <w:sz w:val="28"/>
        </w:rPr>
      </w:pPr>
    </w:p>
    <w:sectPr>
      <w:headerReference r:id="rId1" w:type="default"/>
      <w:pgSz w:h="16838" w:orient="portrait" w:w="11906"/>
      <w:pgMar w:bottom="993" w:footer="709" w:gutter="0" w:header="709" w:left="1701" w:right="1134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center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1000000">
    <w:pPr>
      <w:pStyle w:val="Style_1"/>
      <w:ind/>
      <w:jc w:val="center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  <w:pPr>
      <w:spacing w:after="0" w:line="240" w:lineRule="auto"/>
      <w:ind/>
    </w:pPr>
    <w:rPr>
      <w:rFonts w:ascii="Times New Roman" w:hAnsi="Times New Roman"/>
      <w:sz w:val="24"/>
    </w:rPr>
  </w:style>
  <w:style w:default="1" w:styleId="Style_5_ch" w:type="character">
    <w:name w:val="Normal"/>
    <w:link w:val="Style_5"/>
    <w:rPr>
      <w:rFonts w:ascii="Times New Roman" w:hAnsi="Times New Roman"/>
      <w:sz w:val="24"/>
    </w:rPr>
  </w:style>
  <w:style w:styleId="Style_6" w:type="paragraph">
    <w:name w:val="toc 2"/>
    <w:next w:val="Style_5"/>
    <w:link w:val="Style_6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6_ch" w:type="character">
    <w:name w:val="toc 2"/>
    <w:link w:val="Style_6"/>
    <w:rPr>
      <w:rFonts w:ascii="XO Thames" w:hAnsi="XO Thames"/>
      <w:sz w:val="28"/>
    </w:rPr>
  </w:style>
  <w:style w:styleId="Style_7" w:type="paragraph">
    <w:name w:val="Normal (Web)"/>
    <w:basedOn w:val="Style_5"/>
    <w:link w:val="Style_7_ch"/>
  </w:style>
  <w:style w:styleId="Style_7_ch" w:type="character">
    <w:name w:val="Normal (Web)"/>
    <w:basedOn w:val="Style_5_ch"/>
    <w:link w:val="Style_7"/>
  </w:style>
  <w:style w:styleId="Style_8" w:type="paragraph">
    <w:name w:val="toc 4"/>
    <w:next w:val="Style_5"/>
    <w:link w:val="Style_8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8_ch" w:type="character">
    <w:name w:val="toc 4"/>
    <w:link w:val="Style_8"/>
    <w:rPr>
      <w:rFonts w:ascii="XO Thames" w:hAnsi="XO Thames"/>
      <w:sz w:val="28"/>
    </w:rPr>
  </w:style>
  <w:style w:styleId="Style_9" w:type="paragraph">
    <w:name w:val="toc 6"/>
    <w:next w:val="Style_5"/>
    <w:link w:val="Style_9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9_ch" w:type="character">
    <w:name w:val="toc 6"/>
    <w:link w:val="Style_9"/>
    <w:rPr>
      <w:rFonts w:ascii="XO Thames" w:hAnsi="XO Thames"/>
      <w:sz w:val="28"/>
    </w:rPr>
  </w:style>
  <w:style w:styleId="Style_10" w:type="paragraph">
    <w:name w:val="Style4"/>
    <w:basedOn w:val="Style_5"/>
    <w:link w:val="Style_10_ch"/>
    <w:pPr>
      <w:widowControl w:val="0"/>
      <w:spacing w:line="546" w:lineRule="exact"/>
      <w:ind w:firstLine="552" w:left="0"/>
      <w:jc w:val="both"/>
    </w:pPr>
  </w:style>
  <w:style w:styleId="Style_10_ch" w:type="character">
    <w:name w:val="Style4"/>
    <w:basedOn w:val="Style_5_ch"/>
    <w:link w:val="Style_10"/>
  </w:style>
  <w:style w:styleId="Style_11" w:type="paragraph">
    <w:name w:val="toc 7"/>
    <w:next w:val="Style_5"/>
    <w:link w:val="Style_11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1_ch" w:type="character">
    <w:name w:val="toc 7"/>
    <w:link w:val="Style_11"/>
    <w:rPr>
      <w:rFonts w:ascii="XO Thames" w:hAnsi="XO Thames"/>
      <w:sz w:val="28"/>
    </w:rPr>
  </w:style>
  <w:style w:styleId="Style_12" w:type="paragraph">
    <w:name w:val="msonormal_mr_css_attr"/>
    <w:basedOn w:val="Style_5"/>
    <w:link w:val="Style_12_ch"/>
    <w:pPr>
      <w:spacing w:afterAutospacing="on" w:beforeAutospacing="on"/>
      <w:ind/>
    </w:pPr>
  </w:style>
  <w:style w:styleId="Style_12_ch" w:type="character">
    <w:name w:val="msonormal_mr_css_attr"/>
    <w:basedOn w:val="Style_5_ch"/>
    <w:link w:val="Style_12"/>
  </w:style>
  <w:style w:styleId="Style_13" w:type="paragraph">
    <w:name w:val="heading 3"/>
    <w:next w:val="Style_5"/>
    <w:link w:val="Style_13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3_ch" w:type="character">
    <w:name w:val="heading 3"/>
    <w:link w:val="Style_13"/>
    <w:rPr>
      <w:rFonts w:ascii="XO Thames" w:hAnsi="XO Thames"/>
      <w:b w:val="1"/>
      <w:sz w:val="26"/>
    </w:rPr>
  </w:style>
  <w:style w:styleId="Style_14" w:type="paragraph">
    <w:name w:val="Default Paragraph Font"/>
    <w:link w:val="Style_14_ch"/>
  </w:style>
  <w:style w:styleId="Style_14_ch" w:type="character">
    <w:name w:val="Default Paragraph Font"/>
    <w:link w:val="Style_14"/>
  </w:style>
  <w:style w:styleId="Style_2" w:type="paragraph">
    <w:name w:val="ConsPlusNormal"/>
    <w:link w:val="Style_2_ch"/>
    <w:pPr>
      <w:spacing w:after="0" w:line="240" w:lineRule="auto"/>
      <w:ind/>
    </w:pPr>
    <w:rPr>
      <w:rFonts w:ascii="Times New Roman" w:hAnsi="Times New Roman"/>
      <w:sz w:val="28"/>
    </w:rPr>
  </w:style>
  <w:style w:styleId="Style_2_ch" w:type="character">
    <w:name w:val="ConsPlusNormal"/>
    <w:link w:val="Style_2"/>
    <w:rPr>
      <w:rFonts w:ascii="Times New Roman" w:hAnsi="Times New Roman"/>
      <w:sz w:val="28"/>
    </w:rPr>
  </w:style>
  <w:style w:styleId="Style_4" w:type="paragraph">
    <w:name w:val="Body Text Indent"/>
    <w:basedOn w:val="Style_5"/>
    <w:link w:val="Style_4_ch"/>
    <w:pPr>
      <w:ind w:firstLine="851" w:left="0"/>
      <w:jc w:val="both"/>
    </w:pPr>
    <w:rPr>
      <w:sz w:val="28"/>
    </w:rPr>
  </w:style>
  <w:style w:styleId="Style_4_ch" w:type="character">
    <w:name w:val="Body Text Indent"/>
    <w:basedOn w:val="Style_5_ch"/>
    <w:link w:val="Style_4"/>
    <w:rPr>
      <w:sz w:val="28"/>
    </w:rPr>
  </w:style>
  <w:style w:styleId="Style_15" w:type="paragraph">
    <w:name w:val="footer"/>
    <w:basedOn w:val="Style_5"/>
    <w:link w:val="Style_15_ch"/>
    <w:pPr>
      <w:tabs>
        <w:tab w:leader="none" w:pos="4677" w:val="center"/>
        <w:tab w:leader="none" w:pos="9355" w:val="right"/>
      </w:tabs>
      <w:ind/>
    </w:pPr>
  </w:style>
  <w:style w:styleId="Style_15_ch" w:type="character">
    <w:name w:val="footer"/>
    <w:basedOn w:val="Style_5_ch"/>
    <w:link w:val="Style_15"/>
  </w:style>
  <w:style w:styleId="Style_16" w:type="paragraph">
    <w:name w:val="ConsPlusNonformat"/>
    <w:link w:val="Style_16_ch"/>
    <w:pPr>
      <w:spacing w:after="0" w:line="240" w:lineRule="auto"/>
      <w:ind/>
    </w:pPr>
    <w:rPr>
      <w:rFonts w:ascii="Courier New" w:hAnsi="Courier New"/>
      <w:sz w:val="20"/>
    </w:rPr>
  </w:style>
  <w:style w:styleId="Style_16_ch" w:type="character">
    <w:name w:val="ConsPlusNonformat"/>
    <w:link w:val="Style_16"/>
    <w:rPr>
      <w:rFonts w:ascii="Courier New" w:hAnsi="Courier New"/>
      <w:sz w:val="20"/>
    </w:rPr>
  </w:style>
  <w:style w:styleId="Style_17" w:type="paragraph">
    <w:name w:val="toc 3"/>
    <w:next w:val="Style_5"/>
    <w:link w:val="Style_17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7_ch" w:type="character">
    <w:name w:val="toc 3"/>
    <w:link w:val="Style_17"/>
    <w:rPr>
      <w:rFonts w:ascii="XO Thames" w:hAnsi="XO Thames"/>
      <w:sz w:val="28"/>
    </w:rPr>
  </w:style>
  <w:style w:styleId="Style_18" w:type="paragraph">
    <w:name w:val="s_1"/>
    <w:basedOn w:val="Style_5"/>
    <w:link w:val="Style_18_ch"/>
    <w:pPr>
      <w:spacing w:afterAutospacing="on" w:beforeAutospacing="on"/>
      <w:ind/>
    </w:pPr>
  </w:style>
  <w:style w:styleId="Style_18_ch" w:type="character">
    <w:name w:val="s_1"/>
    <w:basedOn w:val="Style_5_ch"/>
    <w:link w:val="Style_18"/>
  </w:style>
  <w:style w:styleId="Style_19" w:type="paragraph">
    <w:name w:val="Font Style12"/>
    <w:link w:val="Style_19_ch"/>
    <w:rPr>
      <w:rFonts w:ascii="Times New Roman" w:hAnsi="Times New Roman"/>
      <w:sz w:val="30"/>
    </w:rPr>
  </w:style>
  <w:style w:styleId="Style_19_ch" w:type="character">
    <w:name w:val="Font Style12"/>
    <w:link w:val="Style_19"/>
    <w:rPr>
      <w:rFonts w:ascii="Times New Roman" w:hAnsi="Times New Roman"/>
      <w:sz w:val="30"/>
    </w:rPr>
  </w:style>
  <w:style w:styleId="Style_20" w:type="paragraph">
    <w:name w:val="List Paragraph"/>
    <w:basedOn w:val="Style_5"/>
    <w:link w:val="Style_20_ch"/>
    <w:pPr>
      <w:spacing w:after="200" w:line="276" w:lineRule="auto"/>
      <w:ind w:firstLine="0" w:left="720"/>
      <w:contextualSpacing w:val="1"/>
    </w:pPr>
    <w:rPr>
      <w:rFonts w:ascii="Calibri" w:hAnsi="Calibri"/>
      <w:sz w:val="22"/>
    </w:rPr>
  </w:style>
  <w:style w:styleId="Style_20_ch" w:type="character">
    <w:name w:val="List Paragraph"/>
    <w:basedOn w:val="Style_5_ch"/>
    <w:link w:val="Style_20"/>
    <w:rPr>
      <w:rFonts w:ascii="Calibri" w:hAnsi="Calibri"/>
      <w:sz w:val="22"/>
    </w:rPr>
  </w:style>
  <w:style w:styleId="Style_21" w:type="paragraph">
    <w:name w:val="heading 5"/>
    <w:next w:val="Style_5"/>
    <w:link w:val="Style_21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21_ch" w:type="character">
    <w:name w:val="heading 5"/>
    <w:link w:val="Style_21"/>
    <w:rPr>
      <w:rFonts w:ascii="XO Thames" w:hAnsi="XO Thames"/>
      <w:b w:val="1"/>
      <w:sz w:val="22"/>
    </w:rPr>
  </w:style>
  <w:style w:styleId="Style_22" w:type="paragraph">
    <w:name w:val="heading 1"/>
    <w:next w:val="Style_5"/>
    <w:link w:val="Style_22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22_ch" w:type="character">
    <w:name w:val="heading 1"/>
    <w:link w:val="Style_22"/>
    <w:rPr>
      <w:rFonts w:ascii="XO Thames" w:hAnsi="XO Thames"/>
      <w:b w:val="1"/>
      <w:sz w:val="32"/>
    </w:rPr>
  </w:style>
  <w:style w:styleId="Style_23" w:type="paragraph">
    <w:name w:val="Hyperlink"/>
    <w:basedOn w:val="Style_14"/>
    <w:link w:val="Style_23_ch"/>
    <w:rPr>
      <w:color w:val="0000FF"/>
      <w:u w:val="single"/>
    </w:rPr>
  </w:style>
  <w:style w:styleId="Style_23_ch" w:type="character">
    <w:name w:val="Hyperlink"/>
    <w:basedOn w:val="Style_14_ch"/>
    <w:link w:val="Style_23"/>
    <w:rPr>
      <w:color w:val="0000FF"/>
      <w:u w:val="single"/>
    </w:rPr>
  </w:style>
  <w:style w:styleId="Style_24" w:type="paragraph">
    <w:name w:val="Footnote"/>
    <w:link w:val="Style_24_ch"/>
    <w:pPr>
      <w:ind w:firstLine="851" w:left="0"/>
      <w:jc w:val="both"/>
    </w:pPr>
    <w:rPr>
      <w:rFonts w:ascii="XO Thames" w:hAnsi="XO Thames"/>
      <w:sz w:val="22"/>
    </w:rPr>
  </w:style>
  <w:style w:styleId="Style_24_ch" w:type="character">
    <w:name w:val="Footnote"/>
    <w:link w:val="Style_24"/>
    <w:rPr>
      <w:rFonts w:ascii="XO Thames" w:hAnsi="XO Thames"/>
      <w:sz w:val="22"/>
    </w:rPr>
  </w:style>
  <w:style w:styleId="Style_25" w:type="paragraph">
    <w:name w:val="toc 1"/>
    <w:next w:val="Style_5"/>
    <w:link w:val="Style_25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5_ch" w:type="character">
    <w:name w:val="toc 1"/>
    <w:link w:val="Style_25"/>
    <w:rPr>
      <w:rFonts w:ascii="XO Thames" w:hAnsi="XO Thames"/>
      <w:b w:val="1"/>
      <w:sz w:val="28"/>
    </w:rPr>
  </w:style>
  <w:style w:styleId="Style_26" w:type="paragraph">
    <w:name w:val="No Spacing"/>
    <w:link w:val="Style_26_ch"/>
    <w:pPr>
      <w:spacing w:after="0" w:line="240" w:lineRule="auto"/>
      <w:ind/>
    </w:pPr>
    <w:rPr>
      <w:rFonts w:ascii="Times New Roman" w:hAnsi="Times New Roman"/>
      <w:sz w:val="28"/>
    </w:rPr>
  </w:style>
  <w:style w:styleId="Style_26_ch" w:type="character">
    <w:name w:val="No Spacing"/>
    <w:link w:val="Style_26"/>
    <w:rPr>
      <w:rFonts w:ascii="Times New Roman" w:hAnsi="Times New Roman"/>
      <w:sz w:val="28"/>
    </w:rPr>
  </w:style>
  <w:style w:styleId="Style_27" w:type="paragraph">
    <w:name w:val="Header and Footer"/>
    <w:link w:val="Style_27_ch"/>
    <w:pPr>
      <w:spacing w:line="240" w:lineRule="auto"/>
      <w:ind/>
      <w:jc w:val="both"/>
    </w:pPr>
    <w:rPr>
      <w:rFonts w:ascii="XO Thames" w:hAnsi="XO Thames"/>
      <w:sz w:val="20"/>
    </w:rPr>
  </w:style>
  <w:style w:styleId="Style_27_ch" w:type="character">
    <w:name w:val="Header and Footer"/>
    <w:link w:val="Style_27"/>
    <w:rPr>
      <w:rFonts w:ascii="XO Thames" w:hAnsi="XO Thames"/>
      <w:sz w:val="20"/>
    </w:rPr>
  </w:style>
  <w:style w:styleId="Style_28" w:type="paragraph">
    <w:name w:val="toc 9"/>
    <w:next w:val="Style_5"/>
    <w:link w:val="Style_28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8_ch" w:type="character">
    <w:name w:val="toc 9"/>
    <w:link w:val="Style_28"/>
    <w:rPr>
      <w:rFonts w:ascii="XO Thames" w:hAnsi="XO Thames"/>
      <w:sz w:val="28"/>
    </w:rPr>
  </w:style>
  <w:style w:styleId="Style_29" w:type="paragraph">
    <w:name w:val="highlightsearch"/>
    <w:basedOn w:val="Style_14"/>
    <w:link w:val="Style_29_ch"/>
  </w:style>
  <w:style w:styleId="Style_29_ch" w:type="character">
    <w:name w:val="highlightsearch"/>
    <w:basedOn w:val="Style_14_ch"/>
    <w:link w:val="Style_29"/>
  </w:style>
  <w:style w:styleId="Style_30" w:type="paragraph">
    <w:name w:val="Balloon Text"/>
    <w:basedOn w:val="Style_5"/>
    <w:link w:val="Style_30_ch"/>
    <w:rPr>
      <w:rFonts w:ascii="Tahoma" w:hAnsi="Tahoma"/>
      <w:sz w:val="16"/>
    </w:rPr>
  </w:style>
  <w:style w:styleId="Style_30_ch" w:type="character">
    <w:name w:val="Balloon Text"/>
    <w:basedOn w:val="Style_5_ch"/>
    <w:link w:val="Style_30"/>
    <w:rPr>
      <w:rFonts w:ascii="Tahoma" w:hAnsi="Tahoma"/>
      <w:sz w:val="16"/>
    </w:rPr>
  </w:style>
  <w:style w:styleId="Style_31" w:type="paragraph">
    <w:name w:val="toc 8"/>
    <w:next w:val="Style_5"/>
    <w:link w:val="Style_31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31_ch" w:type="character">
    <w:name w:val="toc 8"/>
    <w:link w:val="Style_31"/>
    <w:rPr>
      <w:rFonts w:ascii="XO Thames" w:hAnsi="XO Thames"/>
      <w:sz w:val="28"/>
    </w:rPr>
  </w:style>
  <w:style w:styleId="Style_1" w:type="paragraph">
    <w:name w:val="header"/>
    <w:basedOn w:val="Style_5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5_ch"/>
    <w:link w:val="Style_1"/>
  </w:style>
  <w:style w:styleId="Style_32" w:type="paragraph">
    <w:name w:val="toc 5"/>
    <w:next w:val="Style_5"/>
    <w:link w:val="Style_32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32_ch" w:type="character">
    <w:name w:val="toc 5"/>
    <w:link w:val="Style_32"/>
    <w:rPr>
      <w:rFonts w:ascii="XO Thames" w:hAnsi="XO Thames"/>
      <w:sz w:val="28"/>
    </w:rPr>
  </w:style>
  <w:style w:styleId="Style_33" w:type="paragraph">
    <w:name w:val="ConsPlusTitlePage"/>
    <w:link w:val="Style_33_ch"/>
    <w:pPr>
      <w:widowControl w:val="0"/>
      <w:spacing w:after="0" w:line="240" w:lineRule="auto"/>
      <w:ind/>
    </w:pPr>
    <w:rPr>
      <w:rFonts w:ascii="Tahoma" w:hAnsi="Tahoma"/>
      <w:sz w:val="20"/>
    </w:rPr>
  </w:style>
  <w:style w:styleId="Style_33_ch" w:type="character">
    <w:name w:val="ConsPlusTitlePage"/>
    <w:link w:val="Style_33"/>
    <w:rPr>
      <w:rFonts w:ascii="Tahoma" w:hAnsi="Tahoma"/>
      <w:sz w:val="20"/>
    </w:rPr>
  </w:style>
  <w:style w:styleId="Style_34" w:type="paragraph">
    <w:name w:val="Subtitle"/>
    <w:next w:val="Style_5"/>
    <w:link w:val="Style_34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4_ch" w:type="character">
    <w:name w:val="Subtitle"/>
    <w:link w:val="Style_34"/>
    <w:rPr>
      <w:rFonts w:ascii="XO Thames" w:hAnsi="XO Thames"/>
      <w:i w:val="1"/>
      <w:sz w:val="24"/>
    </w:rPr>
  </w:style>
  <w:style w:styleId="Style_35" w:type="paragraph">
    <w:name w:val="s_16"/>
    <w:basedOn w:val="Style_5"/>
    <w:link w:val="Style_35_ch"/>
    <w:pPr>
      <w:spacing w:afterAutospacing="on" w:beforeAutospacing="on"/>
      <w:ind/>
    </w:pPr>
  </w:style>
  <w:style w:styleId="Style_35_ch" w:type="character">
    <w:name w:val="s_16"/>
    <w:basedOn w:val="Style_5_ch"/>
    <w:link w:val="Style_35"/>
  </w:style>
  <w:style w:styleId="Style_36" w:type="paragraph">
    <w:name w:val="Title"/>
    <w:basedOn w:val="Style_5"/>
    <w:link w:val="Style_36_ch"/>
    <w:uiPriority w:val="10"/>
    <w:qFormat/>
    <w:pPr>
      <w:ind/>
      <w:jc w:val="center"/>
    </w:pPr>
    <w:rPr>
      <w:b w:val="1"/>
      <w:sz w:val="28"/>
    </w:rPr>
  </w:style>
  <w:style w:styleId="Style_36_ch" w:type="character">
    <w:name w:val="Title"/>
    <w:basedOn w:val="Style_5_ch"/>
    <w:link w:val="Style_36"/>
    <w:rPr>
      <w:b w:val="1"/>
      <w:sz w:val="28"/>
    </w:rPr>
  </w:style>
  <w:style w:styleId="Style_37" w:type="paragraph">
    <w:name w:val="heading 4"/>
    <w:next w:val="Style_5"/>
    <w:link w:val="Style_37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7_ch" w:type="character">
    <w:name w:val="heading 4"/>
    <w:link w:val="Style_37"/>
    <w:rPr>
      <w:rFonts w:ascii="XO Thames" w:hAnsi="XO Thames"/>
      <w:b w:val="1"/>
      <w:sz w:val="24"/>
    </w:rPr>
  </w:style>
  <w:style w:styleId="Style_38" w:type="paragraph">
    <w:name w:val="heading 2"/>
    <w:next w:val="Style_5"/>
    <w:link w:val="Style_38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8_ch" w:type="character">
    <w:name w:val="heading 2"/>
    <w:link w:val="Style_38"/>
    <w:rPr>
      <w:rFonts w:ascii="XO Thames" w:hAnsi="XO Thames"/>
      <w:b w:val="1"/>
      <w:sz w:val="28"/>
    </w:rPr>
  </w:style>
  <w:style w:styleId="Style_39" w:type="paragraph">
    <w:name w:val="ConsPlusTitle"/>
    <w:link w:val="Style_39_ch"/>
    <w:pPr>
      <w:widowControl w:val="0"/>
      <w:spacing w:after="0" w:line="240" w:lineRule="auto"/>
      <w:ind/>
    </w:pPr>
    <w:rPr>
      <w:rFonts w:ascii="Calibri" w:hAnsi="Calibri"/>
      <w:b w:val="1"/>
    </w:rPr>
  </w:style>
  <w:style w:styleId="Style_39_ch" w:type="character">
    <w:name w:val="ConsPlusTitle"/>
    <w:link w:val="Style_39"/>
    <w:rPr>
      <w:rFonts w:ascii="Calibri" w:hAnsi="Calibri"/>
      <w:b w:val="1"/>
    </w:rPr>
  </w:style>
  <w:style w:styleId="Style_40" w:type="table">
    <w:name w:val="Table Normal"/>
    <w:pPr>
      <w:widowControl w:val="0"/>
      <w:spacing w:after="0" w:line="240" w:lineRule="auto"/>
      <w:ind/>
    </w:pPr>
    <w:rPr>
      <w:rFonts w:ascii="Calibri" w:hAnsi="Calibri"/>
    </w:rPr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MyOffice-CoreFramework-Windows/26-1013.725.7203.647.3@RELEASE-DESKTOP-YERBA-RC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2025-08-22T14:53:27Z</dcterms:modified>
</cp:coreProperties>
</file>