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О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>от 16.02.2024</w:t>
      </w:r>
      <w:r>
        <w:rPr>
          <w:sz w:val="28"/>
        </w:rPr>
        <w:t xml:space="preserve"> № 21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9000000">
      <w:pPr>
        <w:ind w:firstLine="0" w:left="54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>в приказ ко</w:t>
      </w:r>
      <w:r>
        <w:rPr>
          <w:b w:val="1"/>
          <w:sz w:val="28"/>
        </w:rPr>
        <w:t xml:space="preserve">митета финансов Курской области </w:t>
      </w:r>
      <w:r>
        <w:rPr>
          <w:b w:val="1"/>
          <w:sz w:val="28"/>
        </w:rPr>
        <w:t>от 03.12.2021</w:t>
      </w:r>
      <w:r>
        <w:rPr>
          <w:b w:val="1"/>
          <w:sz w:val="28"/>
        </w:rPr>
        <w:t xml:space="preserve"> № 188н «Об утверждении Порядка </w:t>
      </w:r>
      <w:r>
        <w:rPr>
          <w:b w:val="1"/>
          <w:sz w:val="28"/>
        </w:rPr>
        <w:t>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</w:t>
      </w:r>
      <w:r>
        <w:rPr>
          <w:b w:val="1"/>
          <w:sz w:val="28"/>
        </w:rPr>
        <w:t>зацем вторым пункта 1 статьи 78</w:t>
      </w:r>
      <w:r>
        <w:rPr>
          <w:b w:val="1"/>
          <w:sz w:val="28"/>
          <w:vertAlign w:val="superscript"/>
        </w:rPr>
        <w:t>1</w:t>
      </w:r>
      <w:r>
        <w:rPr>
          <w:b w:val="1"/>
          <w:sz w:val="28"/>
        </w:rPr>
        <w:t xml:space="preserve"> и статьей 78</w:t>
      </w:r>
      <w:r>
        <w:rPr>
          <w:b w:val="1"/>
          <w:sz w:val="28"/>
          <w:vertAlign w:val="superscript"/>
        </w:rPr>
        <w:t>2</w:t>
      </w:r>
      <w:r>
        <w:rPr>
          <w:b w:val="1"/>
          <w:sz w:val="28"/>
        </w:rPr>
        <w:t xml:space="preserve"> Бюджетного кодекса Российской Федерации»</w:t>
      </w:r>
    </w:p>
    <w:p w14:paraId="0A000000">
      <w:pPr>
        <w:ind/>
        <w:jc w:val="center"/>
        <w:rPr>
          <w:sz w:val="28"/>
        </w:rPr>
      </w:pPr>
    </w:p>
    <w:p w14:paraId="0B000000">
      <w:pPr>
        <w:ind w:firstLine="709" w:left="0"/>
        <w:jc w:val="both"/>
        <w:rPr>
          <w:sz w:val="28"/>
        </w:rPr>
      </w:pPr>
      <w:r>
        <w:rPr>
          <w:sz w:val="28"/>
        </w:rPr>
        <w:t>В Перечне</w:t>
      </w:r>
      <w:r>
        <w:rPr>
          <w:sz w:val="28"/>
        </w:rPr>
        <w:t xml:space="preserve"> кодов целевых субсидий, предоставляемых областным бюджетным и автономным учреждениям в соответствии с аб</w:t>
      </w:r>
      <w:r>
        <w:rPr>
          <w:sz w:val="28"/>
        </w:rPr>
        <w:t>зацем вторым пункта 1 статьи 78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 статьей 78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Бюджетного кодекса Российской Федерации</w:t>
      </w:r>
      <w:r>
        <w:rPr>
          <w:sz w:val="26"/>
        </w:rPr>
        <w:t xml:space="preserve">, </w:t>
      </w:r>
      <w:r>
        <w:rPr>
          <w:sz w:val="28"/>
        </w:rPr>
        <w:t>утвержденном указанным приказом:</w:t>
      </w:r>
    </w:p>
    <w:p w14:paraId="0C000000">
      <w:pPr>
        <w:ind w:firstLine="709" w:left="0"/>
        <w:jc w:val="both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>строку</w:t>
      </w:r>
      <w:r>
        <w:rPr>
          <w:sz w:val="26"/>
        </w:rPr>
        <w:t>:</w:t>
      </w:r>
    </w:p>
    <w:p w14:paraId="0D000000">
      <w:pPr>
        <w:ind w:firstLine="709" w:left="0"/>
        <w:jc w:val="both"/>
        <w:rPr>
          <w:sz w:val="26"/>
        </w:rPr>
      </w:pP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6"/>
        <w:gridCol w:w="1245"/>
        <w:gridCol w:w="7401"/>
        <w:gridCol w:w="534"/>
      </w:tblGrid>
      <w:tr>
        <w:trPr>
          <w:trHeight w:hRule="atLeast" w:val="1748"/>
        </w:trPr>
        <w:tc>
          <w:tcPr>
            <w:tcW w:type="dxa" w:w="426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rPr>
                <w:sz w:val="26"/>
              </w:rPr>
            </w:pPr>
            <w:r>
              <w:rPr>
                <w:sz w:val="26"/>
              </w:rPr>
              <w:t>«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ind/>
              <w:jc w:val="center"/>
            </w:pPr>
            <w:r>
              <w:t xml:space="preserve">508 </w:t>
            </w:r>
          </w:p>
          <w:p w14:paraId="10000000">
            <w:pPr>
              <w:ind/>
              <w:jc w:val="center"/>
              <w:rPr>
                <w:sz w:val="26"/>
              </w:rPr>
            </w:pPr>
            <w:r>
              <w:t>508A2 508E1 508E8 508R3 508EГ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ind/>
              <w:jc w:val="both"/>
            </w:pPr>
            <w:r>
              <w:t xml:space="preserve">Субсидия на участие, организацию, проведение и информационное освещение конференций, семинаров, выставок, ярмарок, переговоров, встреч, совещаний, конкурсов, акций, движений, чемпионатов, олимпиад, фестивалей, форумов, соревнований, слетов, </w:t>
            </w:r>
            <w:r>
              <w:t>онлайн</w:t>
            </w:r>
            <w:r>
              <w:t xml:space="preserve"> игр, сборов, праздничных, торжественных и спортивных мероприятий</w:t>
            </w:r>
          </w:p>
          <w:p w14:paraId="12000000">
            <w:pPr>
              <w:ind/>
              <w:jc w:val="both"/>
            </w:pP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00000">
            <w:pPr>
              <w:rPr>
                <w:sz w:val="26"/>
              </w:rPr>
            </w:pPr>
          </w:p>
          <w:p w14:paraId="14000000">
            <w:pPr>
              <w:rPr>
                <w:sz w:val="26"/>
              </w:rPr>
            </w:pPr>
          </w:p>
          <w:p w14:paraId="15000000">
            <w:pPr>
              <w:rPr>
                <w:sz w:val="26"/>
              </w:rPr>
            </w:pPr>
          </w:p>
          <w:p w14:paraId="16000000">
            <w:pPr>
              <w:rPr>
                <w:sz w:val="26"/>
              </w:rPr>
            </w:pPr>
          </w:p>
          <w:p w14:paraId="17000000">
            <w:pPr>
              <w:rPr>
                <w:sz w:val="26"/>
              </w:rPr>
            </w:pPr>
          </w:p>
          <w:p w14:paraId="18000000">
            <w:pPr>
              <w:rPr>
                <w:sz w:val="26"/>
              </w:rPr>
            </w:pPr>
            <w:r>
              <w:rPr>
                <w:sz w:val="26"/>
              </w:rPr>
              <w:t>»</w:t>
            </w:r>
          </w:p>
        </w:tc>
      </w:tr>
    </w:tbl>
    <w:p w14:paraId="19000000">
      <w:pPr>
        <w:tabs>
          <w:tab w:leader="none" w:pos="993" w:val="left"/>
        </w:tabs>
        <w:ind w:firstLine="709" w:left="0"/>
        <w:jc w:val="both"/>
        <w:rPr>
          <w:sz w:val="26"/>
        </w:rPr>
      </w:pPr>
    </w:p>
    <w:p w14:paraId="1A000000">
      <w:pPr>
        <w:tabs>
          <w:tab w:leader="none" w:pos="993" w:val="left"/>
        </w:tabs>
        <w:ind w:firstLine="709" w:left="0"/>
        <w:jc w:val="both"/>
        <w:rPr>
          <w:sz w:val="26"/>
        </w:rPr>
      </w:pPr>
      <w:r>
        <w:rPr>
          <w:sz w:val="26"/>
        </w:rPr>
        <w:t>изложить в следующей редакции:</w:t>
      </w:r>
    </w:p>
    <w:p w14:paraId="1B000000">
      <w:pPr>
        <w:tabs>
          <w:tab w:leader="none" w:pos="993" w:val="left"/>
        </w:tabs>
        <w:ind w:firstLine="709" w:left="0"/>
        <w:jc w:val="both"/>
        <w:rPr>
          <w:sz w:val="26"/>
        </w:rPr>
      </w:pP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6"/>
        <w:gridCol w:w="1173"/>
        <w:gridCol w:w="7473"/>
        <w:gridCol w:w="1014"/>
      </w:tblGrid>
      <w:tr>
        <w:trPr>
          <w:trHeight w:hRule="atLeast" w:val="470"/>
        </w:trPr>
        <w:tc>
          <w:tcPr>
            <w:tcW w:type="dxa" w:w="426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</w:p>
        </w:tc>
        <w:tc>
          <w:tcPr>
            <w:tcW w:type="dxa" w:w="1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ind/>
              <w:jc w:val="center"/>
            </w:pPr>
            <w:r>
              <w:t xml:space="preserve">508 </w:t>
            </w:r>
          </w:p>
          <w:p w14:paraId="1E000000">
            <w:pPr>
              <w:ind/>
              <w:jc w:val="center"/>
              <w:rPr>
                <w:sz w:val="26"/>
              </w:rPr>
            </w:pPr>
            <w:r>
              <w:t>508A2 508E1 508E8 508R3 508EГ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Субсидия на участие, организацию, проведение и информационное освещение конференций, семинаров, выставок, ярмарок, переговоров, встреч, совещаний, конкурсов, акций, движений, чемпионатов, олимпиад, фестивалей, форумов, соревнований, слетов, </w:t>
            </w:r>
            <w:r>
              <w:rPr>
                <w:sz w:val="26"/>
              </w:rPr>
              <w:t>онлайн</w:t>
            </w:r>
            <w:r>
              <w:rPr>
                <w:sz w:val="26"/>
              </w:rPr>
              <w:t xml:space="preserve"> игр, сборов, праздничных, торжественных и спортивных мероприятий, концертов, мероп</w:t>
            </w:r>
            <w:r>
              <w:rPr>
                <w:sz w:val="26"/>
              </w:rPr>
              <w:t xml:space="preserve">риятий по созданию экспозиций, </w:t>
            </w:r>
            <w:r>
              <w:rPr>
                <w:sz w:val="26"/>
              </w:rPr>
              <w:t>реэкспозиций</w:t>
            </w:r>
          </w:p>
          <w:p w14:paraId="20000000">
            <w:pPr>
              <w:ind/>
              <w:jc w:val="both"/>
            </w:pP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spacing w:line="480" w:lineRule="auto"/>
              <w:ind/>
              <w:rPr>
                <w:sz w:val="26"/>
              </w:rPr>
            </w:pPr>
          </w:p>
          <w:p w14:paraId="22000000">
            <w:pPr>
              <w:rPr>
                <w:sz w:val="26"/>
              </w:rPr>
            </w:pPr>
          </w:p>
          <w:p w14:paraId="23000000">
            <w:pPr>
              <w:rPr>
                <w:sz w:val="26"/>
              </w:rPr>
            </w:pPr>
          </w:p>
          <w:p w14:paraId="24000000">
            <w:pPr>
              <w:rPr>
                <w:sz w:val="26"/>
              </w:rPr>
            </w:pPr>
          </w:p>
          <w:p w14:paraId="25000000">
            <w:pPr>
              <w:rPr>
                <w:sz w:val="26"/>
              </w:rPr>
            </w:pPr>
          </w:p>
          <w:p w14:paraId="26000000">
            <w:pPr>
              <w:rPr>
                <w:sz w:val="26"/>
              </w:rPr>
            </w:pPr>
          </w:p>
          <w:p w14:paraId="27000000">
            <w:pPr>
              <w:rPr>
                <w:sz w:val="26"/>
              </w:rPr>
            </w:pPr>
          </w:p>
          <w:p w14:paraId="28000000">
            <w:pPr>
              <w:rPr>
                <w:sz w:val="26"/>
              </w:rPr>
            </w:pPr>
            <w:r>
              <w:rPr>
                <w:sz w:val="26"/>
              </w:rPr>
              <w:t>»</w:t>
            </w:r>
            <w:r>
              <w:rPr>
                <w:sz w:val="26"/>
              </w:rPr>
              <w:t>.</w:t>
            </w:r>
          </w:p>
        </w:tc>
      </w:tr>
    </w:tbl>
    <w:p w14:paraId="29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footer"/>
    <w:basedOn w:val="Style_3"/>
    <w:link w:val="Style_9_ch"/>
    <w:pPr>
      <w:tabs>
        <w:tab w:leader="none" w:pos="4677" w:val="center"/>
        <w:tab w:leader="none" w:pos="9355" w:val="right"/>
      </w:tabs>
      <w:ind/>
    </w:pPr>
  </w:style>
  <w:style w:styleId="Style_9_ch" w:type="character">
    <w:name w:val="footer"/>
    <w:basedOn w:val="Style_3_ch"/>
    <w:link w:val="Style_9"/>
  </w:style>
  <w:style w:styleId="Style_10" w:type="paragraph">
    <w:name w:val="Body Text Indent"/>
    <w:basedOn w:val="Style_3"/>
    <w:link w:val="Style_10_ch"/>
    <w:pPr>
      <w:spacing w:after="120"/>
      <w:ind w:firstLine="0" w:left="283"/>
    </w:pPr>
  </w:style>
  <w:style w:styleId="Style_10_ch" w:type="character">
    <w:name w:val="Body Text Indent"/>
    <w:basedOn w:val="Style_3_ch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Balloon Text"/>
    <w:basedOn w:val="Style_3"/>
    <w:link w:val="Style_13_ch"/>
    <w:rPr>
      <w:rFonts w:ascii="Tahoma" w:hAnsi="Tahoma"/>
      <w:sz w:val="16"/>
    </w:rPr>
  </w:style>
  <w:style w:styleId="Style_13_ch" w:type="character">
    <w:name w:val="Balloon Text"/>
    <w:basedOn w:val="Style_3_ch"/>
    <w:link w:val="Style_13"/>
    <w:rPr>
      <w:rFonts w:ascii="Tahoma" w:hAnsi="Tahoma"/>
      <w:sz w:val="16"/>
    </w:rPr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ConsPlusNormal"/>
    <w:link w:val="Style_16_ch"/>
    <w:pPr>
      <w:spacing w:after="0" w:line="240" w:lineRule="auto"/>
      <w:ind/>
    </w:pPr>
    <w:rPr>
      <w:rFonts w:ascii="Times New Roman" w:hAnsi="Times New Roman"/>
      <w:sz w:val="28"/>
    </w:rPr>
  </w:style>
  <w:style w:styleId="Style_16_ch" w:type="character">
    <w:name w:val="ConsPlusNormal"/>
    <w:link w:val="Style_16"/>
    <w:rPr>
      <w:rFonts w:ascii="Times New Roman" w:hAnsi="Times New Roman"/>
      <w:sz w:val="28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3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3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List Paragraph"/>
    <w:basedOn w:val="Style_3"/>
    <w:link w:val="Style_24_ch"/>
    <w:pPr>
      <w:ind w:firstLine="0" w:left="720"/>
      <w:contextualSpacing w:val="1"/>
    </w:pPr>
  </w:style>
  <w:style w:styleId="Style_24_ch" w:type="character">
    <w:name w:val="List Paragraph"/>
    <w:basedOn w:val="Style_3_ch"/>
    <w:link w:val="Style_24"/>
  </w:style>
  <w:style w:styleId="Style_25" w:type="paragraph">
    <w:name w:val="Subtitle"/>
    <w:next w:val="Style_3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3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3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2024-02-19T06:46:32Z</dcterms:modified>
</cp:coreProperties>
</file>