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322" w:before="322"/>
        <w:ind w:firstLine="0" w:left="0" w:right="0"/>
        <w:jc w:val="both"/>
        <w:rPr>
          <w:rFonts w:ascii="Times New Roman" w:hAnsi="Times New Roman"/>
          <w:b w:val="1"/>
          <w:i w:val="0"/>
          <w:caps w:val="0"/>
          <w:color w:val="000000"/>
          <w:spacing w:val="0"/>
          <w:sz w:val="48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48"/>
        </w:rPr>
        <w:t>Отчет о результатах деятельности Министерства социального обеспечения, материнства и детства Курской области по проведению антикоррупционной экспертизы нормативных правовых актов и их проектов за 2025 год</w:t>
      </w:r>
    </w:p>
    <w:p w14:paraId="02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Министерством социального обеспечения, материнства и детства Курской области в соответствии со статьей 6 Федерального закона от 25 декабря 2008 года № 273-ФЗ «О противодействии коррупции», Федеральным законом от 17 июля 2009 года № 172-ФЗ «Об антикоррупционной экспертизе нормативных правовых актов и проектов нормативных правовых актов», Правилами проведения антикоррупционной экспертизы нормативных правовых актов и проектов нормативных правовых актов, утвержденными постановлением Администрации Курской области от 22.03.2010 № 105-па, и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№ 96, в 2025 году проведена первичная антикоррупционная экспертиза в отношении 92 проекта нормативно правовых актов Курской области, разработчиком которых является Министерство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социального обеспечения, материнства и детства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 Курской области.</w:t>
      </w:r>
    </w:p>
    <w:p w14:paraId="03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По указанным выше проектам коррупциогенных факторов не выявлено.</w:t>
      </w:r>
    </w:p>
    <w:p w14:paraId="04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Министерством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социального обеспечения, материнства и детства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 Курской области независимые эксперты и организации к проведению антикоррупционной экспертизы в 2025 году не привлекались.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05000000">
      <w:pPr>
        <w:pStyle w:val="Style_1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2026-01-21T13:57:09Z</dcterms:modified>
</cp:coreProperties>
</file>