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7000000">
      <w:pPr>
        <w:ind/>
        <w:jc w:val="center"/>
        <w:rPr>
          <w:b w:val="1"/>
          <w:sz w:val="26"/>
        </w:rPr>
      </w:pPr>
      <w:r>
        <w:rPr>
          <w:b w:val="1"/>
          <w:sz w:val="26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layoutInCell="true" locked="false" relativeHeight="251658240" simplePos="false">
                <wp:simplePos x="0" y="0"/>
                <wp:positionH relativeFrom="column">
                  <wp:posOffset>2886074</wp:posOffset>
                </wp:positionH>
                <wp:positionV relativeFrom="page">
                  <wp:posOffset>752474</wp:posOffset>
                </wp:positionV>
                <wp:extent cx="3120390" cy="1270000"/>
                <wp:wrapNone/>
                <wp:docPr hidden="false" id="1" name="Picture 1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3120390" cy="1270000"/>
                        </a:xfrm>
                        <a:custGeom>
                          <a:avLst/>
                          <a:gdLst>
                            <a:gd fmla="val 0" name="COTextRectL"/>
                            <a:gd fmla="val 0" name="COTextRectT"/>
                            <a:gd fmla="val 1" name="COTextRectR"/>
                            <a:gd fmla="val 1" name="COTextRectB"/>
                            <a:gd fmla="val 0" name="ODFLeft"/>
                            <a:gd fmla="val 0" name="ODFTop"/>
                            <a:gd fmla="val 21600" name="ODFRight"/>
                            <a:gd fmla="val 21600" name="ODFBottom"/>
                            <a:gd fmla="val 21600" name="ODFWidth"/>
                            <a:gd fmla="val 21600" name="ODFHeight"/>
                            <a:gd fmla="*/ COTextRectL w 1" name="OXMLTextRectL"/>
                            <a:gd fmla="*/ COTextRectT h 1" name="OXMLTextRectT"/>
                            <a:gd fmla="*/ COTextRectR w 1" name="OXMLTextRectR"/>
                            <a:gd fmla="*/ COTextRectB h 1" name="OXMLTextRectB"/>
                          </a:gdLst>
                          <a:rect b="OXMLTextRectB" l="OXMLTextRectL" r="OXMLTextRectR" t="OXMLTextRectT"/>
                          <a:pathLst>
                            <a:path fill="norm" h="21600" stroke="true" w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8000000">
                            <w:pPr>
                              <w:pStyle w:val="Style_2"/>
                              <w:rPr>
                                <w:sz w:val="26"/>
                              </w:rPr>
                            </w:pPr>
                            <w:r>
                              <w:rPr>
                                <w:sz w:val="26"/>
                              </w:rPr>
                              <w:t>УТВЕРЖДЕНЫ</w:t>
                            </w:r>
                          </w:p>
                          <w:p w14:paraId="09000000">
                            <w:pPr>
                              <w:pStyle w:val="Style_2"/>
                              <w:rPr>
                                <w:sz w:val="26"/>
                              </w:rPr>
                            </w:pPr>
                            <w:r>
                              <w:rPr>
                                <w:sz w:val="26"/>
                              </w:rPr>
                              <w:t xml:space="preserve">приказом Министерства </w:t>
                            </w:r>
                            <w:r>
                              <w:rPr>
                                <w:sz w:val="26"/>
                              </w:rPr>
                              <w:br/>
                            </w:r>
                            <w:r>
                              <w:rPr>
                                <w:sz w:val="26"/>
                              </w:rPr>
                              <w:t>финансов</w:t>
                            </w:r>
                            <w:r>
                              <w:rPr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 xml:space="preserve">и бюджетного </w:t>
                            </w:r>
                            <w:r>
                              <w:rPr>
                                <w:sz w:val="26"/>
                              </w:rPr>
                              <w:br/>
                            </w:r>
                            <w:r>
                              <w:rPr>
                                <w:sz w:val="26"/>
                              </w:rPr>
                              <w:t>контроля</w:t>
                            </w:r>
                            <w:r>
                              <w:rPr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Курской области</w:t>
                            </w:r>
                          </w:p>
                          <w:p w14:paraId="0A000000">
                            <w:pPr>
                              <w:pStyle w:val="Style_2"/>
                              <w:rPr>
                                <w:sz w:val="26"/>
                              </w:rPr>
                            </w:pPr>
                            <w:r>
                              <w:rPr>
                                <w:sz w:val="26"/>
                              </w:rPr>
                              <w:t>от  22.04.202</w:t>
                            </w:r>
                            <w:r>
                              <w:rPr>
                                <w:sz w:val="26"/>
                              </w:rPr>
                              <w:t>4</w:t>
                            </w:r>
                            <w:r>
                              <w:rPr>
                                <w:sz w:val="26"/>
                              </w:rPr>
                              <w:t xml:space="preserve"> № 39н</w:t>
                            </w:r>
                          </w:p>
                        </w:txbxContent>
                      </wps:txbx>
                      <wps:bodyPr anchor="t" bIns="45720" lIns="91440" rIns="91440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14:paraId="0B000000">
      <w:pPr>
        <w:ind/>
        <w:jc w:val="center"/>
        <w:rPr>
          <w:b w:val="1"/>
          <w:sz w:val="26"/>
        </w:rPr>
      </w:pPr>
    </w:p>
    <w:p w14:paraId="0C000000">
      <w:pPr>
        <w:ind/>
        <w:jc w:val="center"/>
        <w:rPr>
          <w:b w:val="1"/>
          <w:sz w:val="26"/>
        </w:rPr>
      </w:pPr>
    </w:p>
    <w:p w14:paraId="0D000000">
      <w:pPr>
        <w:ind/>
        <w:jc w:val="center"/>
        <w:rPr>
          <w:b w:val="1"/>
          <w:sz w:val="26"/>
        </w:rPr>
      </w:pPr>
    </w:p>
    <w:p w14:paraId="0E000000">
      <w:pPr>
        <w:ind/>
        <w:jc w:val="center"/>
        <w:rPr>
          <w:b w:val="1"/>
          <w:sz w:val="26"/>
        </w:rPr>
      </w:pPr>
    </w:p>
    <w:p w14:paraId="0F000000">
      <w:pPr>
        <w:ind/>
        <w:jc w:val="center"/>
        <w:rPr>
          <w:b w:val="1"/>
          <w:sz w:val="26"/>
        </w:rPr>
      </w:pPr>
    </w:p>
    <w:p w14:paraId="10000000">
      <w:pPr>
        <w:ind/>
        <w:jc w:val="center"/>
        <w:rPr>
          <w:b w:val="1"/>
          <w:sz w:val="26"/>
        </w:rPr>
      </w:pPr>
    </w:p>
    <w:p w14:paraId="11000000">
      <w:pPr>
        <w:ind/>
        <w:jc w:val="center"/>
        <w:rPr>
          <w:b w:val="1"/>
          <w:sz w:val="26"/>
        </w:rPr>
      </w:pPr>
    </w:p>
    <w:p w14:paraId="12000000">
      <w:pPr>
        <w:ind/>
        <w:jc w:val="center"/>
        <w:rPr>
          <w:b w:val="1"/>
          <w:sz w:val="26"/>
        </w:rPr>
      </w:pPr>
    </w:p>
    <w:p w14:paraId="13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ИЗМЕНЕНИЯ,</w:t>
      </w:r>
    </w:p>
    <w:p w14:paraId="14000000">
      <w:pPr>
        <w:ind w:firstLine="709" w:left="0"/>
        <w:jc w:val="center"/>
        <w:rPr>
          <w:b w:val="1"/>
          <w:sz w:val="28"/>
        </w:rPr>
      </w:pPr>
      <w:r>
        <w:rPr>
          <w:b w:val="1"/>
          <w:sz w:val="28"/>
        </w:rPr>
        <w:t>которые вносятся в п</w:t>
      </w:r>
      <w:r>
        <w:rPr>
          <w:b w:val="1"/>
          <w:sz w:val="28"/>
        </w:rPr>
        <w:t xml:space="preserve">риказ комитета финансов Курской области </w:t>
      </w:r>
      <w:r>
        <w:rPr>
          <w:b w:val="1"/>
          <w:sz w:val="28"/>
        </w:rPr>
        <w:br/>
      </w:r>
      <w:r>
        <w:rPr>
          <w:b w:val="1"/>
          <w:sz w:val="28"/>
        </w:rPr>
        <w:t>от 11.08.2020 № 88н «</w:t>
      </w:r>
      <w:r>
        <w:rPr>
          <w:b w:val="1"/>
          <w:sz w:val="28"/>
        </w:rPr>
        <w:t>Об утверждении порядка проведения мониторинга качества финансового менеджмента, осуществляемого главными администраторами средств областного бюджета Курской области, о контроле за проведением мониторинга качества финансового менеджмента»</w:t>
      </w:r>
    </w:p>
    <w:p w14:paraId="15000000">
      <w:pPr>
        <w:ind w:firstLine="709" w:left="0"/>
        <w:jc w:val="both"/>
        <w:rPr>
          <w:sz w:val="26"/>
        </w:rPr>
      </w:pPr>
    </w:p>
    <w:p w14:paraId="16000000">
      <w:pPr>
        <w:pStyle w:val="Style_3"/>
        <w:numPr>
          <w:ilvl w:val="0"/>
          <w:numId w:val="1"/>
        </w:numPr>
        <w:ind w:firstLine="709" w:left="0"/>
        <w:jc w:val="both"/>
        <w:rPr>
          <w:sz w:val="28"/>
        </w:rPr>
      </w:pPr>
      <w:r>
        <w:rPr>
          <w:sz w:val="28"/>
        </w:rPr>
        <w:t xml:space="preserve">В </w:t>
      </w:r>
      <w:r>
        <w:rPr>
          <w:sz w:val="28"/>
        </w:rPr>
        <w:fldChar w:fldCharType="begin"/>
      </w:r>
      <w:r>
        <w:rPr>
          <w:sz w:val="28"/>
        </w:rPr>
        <w:instrText>HYPERLINK "consultantplus://offline/ref=9E0E085ACF81618DA03444C0252022A38AB5035520B4F8E7AE85742006EB7E8385288A54E1A9154B10794397588204E5506B9142858F161EF8E8DF1D0AN5N"</w:instrText>
      </w:r>
      <w:r>
        <w:rPr>
          <w:sz w:val="28"/>
        </w:rPr>
        <w:fldChar w:fldCharType="separate"/>
      </w:r>
      <w:r>
        <w:rPr>
          <w:sz w:val="28"/>
        </w:rPr>
        <w:t>пункте 2</w:t>
      </w:r>
      <w:r>
        <w:rPr>
          <w:sz w:val="28"/>
        </w:rPr>
        <w:fldChar w:fldCharType="end"/>
      </w:r>
      <w:r>
        <w:rPr>
          <w:sz w:val="28"/>
        </w:rPr>
        <w:t>.1 после слов «</w:t>
      </w:r>
      <w:r>
        <w:rPr>
          <w:sz w:val="28"/>
        </w:rPr>
        <w:t>выявленных нарушений</w:t>
      </w:r>
      <w:r>
        <w:rPr>
          <w:sz w:val="28"/>
        </w:rPr>
        <w:t>»</w:t>
      </w:r>
      <w:r>
        <w:rPr>
          <w:sz w:val="28"/>
        </w:rPr>
        <w:t xml:space="preserve"> дополнить словами «ведения бюджетного учета и фор</w:t>
      </w:r>
      <w:r>
        <w:rPr>
          <w:sz w:val="28"/>
        </w:rPr>
        <w:t>мирования бюджетной отчетности»</w:t>
      </w:r>
      <w:r>
        <w:rPr>
          <w:sz w:val="28"/>
        </w:rPr>
        <w:t>.</w:t>
      </w:r>
    </w:p>
    <w:p w14:paraId="17000000">
      <w:pPr>
        <w:ind w:firstLine="709" w:left="0"/>
        <w:jc w:val="both"/>
        <w:rPr>
          <w:sz w:val="28"/>
        </w:rPr>
      </w:pPr>
      <w:r>
        <w:rPr>
          <w:sz w:val="28"/>
        </w:rPr>
        <w:t>2.</w:t>
      </w:r>
      <w:r>
        <w:rPr>
          <w:sz w:val="28"/>
        </w:rPr>
        <w:t xml:space="preserve"> </w:t>
      </w:r>
      <w:r>
        <w:rPr>
          <w:sz w:val="28"/>
        </w:rPr>
        <w:t>Пункт 1.4</w:t>
      </w:r>
      <w:r>
        <w:rPr>
          <w:sz w:val="28"/>
        </w:rPr>
        <w:t xml:space="preserve"> Порядк</w:t>
      </w:r>
      <w:r>
        <w:rPr>
          <w:sz w:val="28"/>
        </w:rPr>
        <w:t>а</w:t>
      </w:r>
      <w:r>
        <w:rPr>
          <w:sz w:val="28"/>
        </w:rPr>
        <w:t xml:space="preserve"> проведения мониторинга качества финансового менеджмента, осуществляемого главными администраторами средств областного бюджета Курской области (главными р</w:t>
      </w:r>
      <w:r>
        <w:rPr>
          <w:sz w:val="28"/>
        </w:rPr>
        <w:t>аспорядителями средств бюджета К</w:t>
      </w:r>
      <w:r>
        <w:rPr>
          <w:sz w:val="28"/>
        </w:rPr>
        <w:t xml:space="preserve">урской области, главными администраторами доходов бюджета </w:t>
      </w:r>
      <w:r>
        <w:rPr>
          <w:sz w:val="28"/>
        </w:rPr>
        <w:t>К</w:t>
      </w:r>
      <w:r>
        <w:rPr>
          <w:sz w:val="28"/>
        </w:rPr>
        <w:t>урской области, главными администраторами источников финансирования дефицита бюджета Курской области</w:t>
      </w:r>
      <w:r>
        <w:rPr>
          <w:sz w:val="28"/>
        </w:rPr>
        <w:t>)</w:t>
      </w:r>
      <w:r>
        <w:rPr>
          <w:sz w:val="28"/>
        </w:rPr>
        <w:t>, утвержденно</w:t>
      </w:r>
      <w:r>
        <w:rPr>
          <w:sz w:val="28"/>
        </w:rPr>
        <w:t>го</w:t>
      </w:r>
      <w:r>
        <w:rPr>
          <w:sz w:val="28"/>
        </w:rPr>
        <w:t xml:space="preserve"> указанным приказом</w:t>
      </w:r>
      <w:r>
        <w:rPr>
          <w:sz w:val="28"/>
        </w:rPr>
        <w:t>,</w:t>
      </w:r>
      <w:r>
        <w:rPr>
          <w:sz w:val="28"/>
        </w:rPr>
        <w:t xml:space="preserve"> изложить в </w:t>
      </w:r>
      <w:r>
        <w:rPr>
          <w:sz w:val="28"/>
        </w:rPr>
        <w:t>следующей</w:t>
      </w:r>
      <w:r>
        <w:rPr>
          <w:sz w:val="28"/>
        </w:rPr>
        <w:t xml:space="preserve"> редакции: </w:t>
      </w:r>
    </w:p>
    <w:p w14:paraId="18000000">
      <w:pPr>
        <w:ind w:firstLine="709" w:left="0"/>
        <w:jc w:val="both"/>
        <w:rPr>
          <w:sz w:val="28"/>
        </w:rPr>
      </w:pPr>
      <w:r>
        <w:rPr>
          <w:sz w:val="28"/>
        </w:rPr>
        <w:t>«1.4. Мониторинг осуществляется Министерством финансов и бюджетного контроля Курской области с учетом результатов внешней проверки Контрольно - счетной палаты Курской области годовой бюджетной отчетности объекта мониторинга (в части информации о выявленных в объекте мониторинга нарушениях ведения бюджетного учета и формирования бюджетной отчетности)</w:t>
      </w:r>
      <w:r>
        <w:rPr>
          <w:sz w:val="28"/>
        </w:rPr>
        <w:t>.</w:t>
      </w:r>
      <w:r>
        <w:rPr>
          <w:sz w:val="28"/>
        </w:rPr>
        <w:t>»</w:t>
      </w:r>
      <w:r>
        <w:rPr>
          <w:sz w:val="28"/>
        </w:rPr>
        <w:t>.</w:t>
      </w:r>
    </w:p>
    <w:p w14:paraId="19000000">
      <w:pPr>
        <w:pStyle w:val="Style_3"/>
        <w:numPr>
          <w:ilvl w:val="0"/>
          <w:numId w:val="2"/>
        </w:numPr>
        <w:ind w:firstLine="709" w:left="0"/>
        <w:jc w:val="both"/>
        <w:rPr>
          <w:sz w:val="28"/>
        </w:rPr>
      </w:pPr>
      <w:r>
        <w:rPr>
          <w:sz w:val="28"/>
        </w:rPr>
        <w:t xml:space="preserve">В приложении № 1 </w:t>
      </w:r>
      <w:r>
        <w:rPr>
          <w:sz w:val="28"/>
        </w:rPr>
        <w:t>к</w:t>
      </w:r>
      <w:r>
        <w:rPr>
          <w:sz w:val="28"/>
        </w:rPr>
        <w:t xml:space="preserve"> Методик</w:t>
      </w:r>
      <w:r>
        <w:rPr>
          <w:sz w:val="28"/>
        </w:rPr>
        <w:t>е</w:t>
      </w:r>
      <w:r>
        <w:rPr>
          <w:sz w:val="28"/>
        </w:rPr>
        <w:t xml:space="preserve"> </w:t>
      </w:r>
      <w:r>
        <w:rPr>
          <w:sz w:val="28"/>
        </w:rPr>
        <w:t>мониторинга оценки качества финансового менеджмента главных распорядителей средств областного</w:t>
      </w:r>
      <w:r>
        <w:rPr>
          <w:sz w:val="28"/>
        </w:rPr>
        <w:t xml:space="preserve"> бюджета</w:t>
      </w:r>
      <w:r>
        <w:rPr>
          <w:sz w:val="28"/>
        </w:rPr>
        <w:t xml:space="preserve">, утвержденной </w:t>
      </w:r>
      <w:r>
        <w:rPr>
          <w:sz w:val="28"/>
        </w:rPr>
        <w:t>указанным приказом</w:t>
      </w:r>
      <w:r>
        <w:rPr>
          <w:sz w:val="28"/>
        </w:rPr>
        <w:t>:</w:t>
      </w:r>
    </w:p>
    <w:p w14:paraId="1A000000">
      <w:pPr>
        <w:pStyle w:val="Style_3"/>
        <w:ind w:firstLine="0" w:left="709"/>
        <w:jc w:val="both"/>
        <w:rPr>
          <w:sz w:val="28"/>
        </w:rPr>
      </w:pPr>
      <w:r>
        <w:rPr>
          <w:sz w:val="28"/>
        </w:rPr>
        <w:t>а) с</w:t>
      </w:r>
      <w:r>
        <w:rPr>
          <w:sz w:val="28"/>
        </w:rPr>
        <w:t>троку 2.2 изложить в следующей редакции:</w:t>
      </w:r>
    </w:p>
    <w:p w14:paraId="1B000000">
      <w:pPr>
        <w:pStyle w:val="Style_3"/>
        <w:ind w:firstLine="0" w:left="709"/>
        <w:jc w:val="both"/>
        <w:rPr>
          <w:sz w:val="28"/>
        </w:rPr>
      </w:pPr>
    </w:p>
    <w:tbl>
      <w:tblPr>
        <w:tblStyle w:val="Style_4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488"/>
        <w:gridCol w:w="488"/>
        <w:gridCol w:w="1275"/>
        <w:gridCol w:w="3828"/>
        <w:gridCol w:w="425"/>
        <w:gridCol w:w="1134"/>
        <w:gridCol w:w="567"/>
        <w:gridCol w:w="1071"/>
        <w:gridCol w:w="284"/>
      </w:tblGrid>
      <w:tr>
        <w:tc>
          <w:tcPr>
            <w:tcW w:type="dxa" w:w="488"/>
            <w:tcBorders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C000000">
            <w:pPr>
              <w:ind w:firstLine="0" w:left="72"/>
            </w:pPr>
            <w:r>
              <w:t>«</w:t>
            </w:r>
          </w:p>
        </w:tc>
        <w:tc>
          <w:tcPr>
            <w:tcW w:type="dxa" w:w="48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D000000">
            <w:pPr>
              <w:ind w:firstLine="0" w:left="72"/>
            </w:pPr>
            <w:r>
              <w:t>2.2.</w:t>
            </w:r>
          </w:p>
        </w:tc>
        <w:tc>
          <w:tcPr>
            <w:tcW w:type="dxa" w:w="127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E000000">
            <w:r>
              <w:t>Доля не использованных на конец отчетного финансового года бюджетных ассигнований</w:t>
            </w:r>
          </w:p>
        </w:tc>
        <w:tc>
          <w:tcPr>
            <w:tcW w:type="dxa" w:w="38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F000000">
            <w:pPr>
              <w:ind w:firstLine="5" w:left="0"/>
            </w:pPr>
            <w:r>
              <w:t>Р</w:t>
            </w:r>
            <w:r>
              <w:t>7</w:t>
            </w:r>
            <w:r>
              <w:t xml:space="preserve"> = (</w:t>
            </w:r>
            <w:r>
              <w:t>S</w:t>
            </w:r>
            <w:r>
              <w:rPr>
                <w:vertAlign w:val="subscript"/>
              </w:rPr>
              <w:t>br</w:t>
            </w:r>
            <w:r>
              <w:t xml:space="preserve"> - </w:t>
            </w:r>
            <w:r>
              <w:t>S</w:t>
            </w:r>
            <w:r>
              <w:rPr>
                <w:vertAlign w:val="subscript"/>
              </w:rPr>
              <w:t>k</w:t>
            </w:r>
            <w:r>
              <w:t xml:space="preserve">) / </w:t>
            </w:r>
            <w:r>
              <w:t>S</w:t>
            </w:r>
            <w:r>
              <w:rPr>
                <w:vertAlign w:val="subscript"/>
              </w:rPr>
              <w:t>br</w:t>
            </w:r>
            <w:r>
              <w:t>, где:</w:t>
            </w:r>
          </w:p>
          <w:p w14:paraId="20000000">
            <w:pPr>
              <w:ind w:firstLine="5" w:left="0"/>
            </w:pPr>
            <w:r>
              <w:t>S</w:t>
            </w:r>
            <w:r>
              <w:rPr>
                <w:vertAlign w:val="subscript"/>
              </w:rPr>
              <w:t>br</w:t>
            </w:r>
            <w:r>
              <w:t xml:space="preserve"> - объем бюджетных ассигнований ГАБС в отчетном финансовом году согласно сводной бюджетной росписи с учетом внесенных в нее изменений (без учета средств резервных фондов Курской области и иным образом зарезервированных средств, на исполнение государственных гарантий и обслуживание государственного долга);</w:t>
            </w:r>
          </w:p>
          <w:p w14:paraId="21000000">
            <w:pPr>
              <w:ind w:firstLine="5" w:left="0"/>
            </w:pPr>
            <w:r>
              <w:t>S</w:t>
            </w:r>
            <w:r>
              <w:rPr>
                <w:vertAlign w:val="subscript"/>
              </w:rPr>
              <w:t>k</w:t>
            </w:r>
            <w:r>
              <w:t xml:space="preserve"> - кассовое исполнение расходов ГАБС в отчетном финансовом году по состоянию </w:t>
            </w:r>
            <w:r>
              <w:t xml:space="preserve">на 1 января года, следующего за </w:t>
            </w:r>
            <w:r>
              <w:t>отчетным</w:t>
            </w:r>
          </w:p>
        </w:tc>
        <w:tc>
          <w:tcPr>
            <w:tcW w:type="dxa" w:w="42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2000000">
            <w:r>
              <w:t>доля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3000000"/>
        </w:tc>
        <w:tc>
          <w:tcPr>
            <w:tcW w:type="dxa" w:w="56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4000000"/>
        </w:tc>
        <w:tc>
          <w:tcPr>
            <w:tcW w:type="dxa" w:w="107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5000000">
            <w:r>
              <w:t>Целевым ориентиром является достижение показателя, равного 0</w:t>
            </w:r>
          </w:p>
        </w:tc>
        <w:tc>
          <w:tcPr>
            <w:tcW w:type="dxa" w:w="284"/>
            <w:tcBorders>
              <w:lef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6000000"/>
        </w:tc>
      </w:tr>
      <w:tr>
        <w:tc>
          <w:tcPr>
            <w:tcW w:type="dxa" w:w="488"/>
            <w:tcBorders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7000000"/>
        </w:tc>
        <w:tc>
          <w:tcPr>
            <w:tcW w:type="dxa" w:w="48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127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38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8000000">
            <w:r>
              <w:t>Р</w:t>
            </w:r>
            <w:r>
              <w:t>7</w:t>
            </w:r>
            <w:r>
              <w:t xml:space="preserve"> &lt;= 0,02</w:t>
            </w:r>
          </w:p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9000000">
            <w:pPr>
              <w:ind/>
              <w:jc w:val="center"/>
            </w:pPr>
            <w:r>
              <w:t>5</w:t>
            </w:r>
          </w:p>
        </w:tc>
        <w:tc>
          <w:tcPr>
            <w:tcW w:type="dxa" w:w="56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107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284"/>
            <w:tcBorders>
              <w:lef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A000000">
            <w:pPr>
              <w:ind/>
              <w:jc w:val="center"/>
            </w:pPr>
          </w:p>
        </w:tc>
      </w:tr>
      <w:tr>
        <w:tc>
          <w:tcPr>
            <w:tcW w:type="dxa" w:w="488"/>
            <w:tcBorders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B000000">
            <w:pPr>
              <w:ind/>
              <w:jc w:val="center"/>
            </w:pPr>
          </w:p>
        </w:tc>
        <w:tc>
          <w:tcPr>
            <w:tcW w:type="dxa" w:w="48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127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38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C000000">
            <w:pPr>
              <w:ind w:firstLine="0" w:left="34"/>
            </w:pPr>
            <w:r>
              <w:t>0,02 &lt; Р</w:t>
            </w:r>
            <w:r>
              <w:t>7</w:t>
            </w:r>
            <w:r>
              <w:t xml:space="preserve"> &lt; 0,1</w:t>
            </w:r>
          </w:p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D000000">
            <w:pPr>
              <w:ind/>
              <w:jc w:val="center"/>
            </w:pPr>
            <w:r>
              <w:t>0,1 - Р</w:t>
            </w:r>
            <w:r>
              <w:t>7</w:t>
            </w:r>
          </w:p>
          <w:p w14:paraId="2E000000">
            <w:pPr>
              <w:ind/>
              <w:jc w:val="center"/>
            </w:pPr>
            <w:r>
              <w:t>______</w:t>
            </w:r>
          </w:p>
          <w:p w14:paraId="2F000000">
            <w:pPr>
              <w:ind/>
              <w:jc w:val="center"/>
            </w:pPr>
            <w:r>
              <w:t>0,016</w:t>
            </w:r>
          </w:p>
        </w:tc>
        <w:tc>
          <w:tcPr>
            <w:tcW w:type="dxa" w:w="56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107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284"/>
            <w:tcBorders>
              <w:lef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0000000">
            <w:pPr>
              <w:ind/>
              <w:jc w:val="center"/>
            </w:pPr>
          </w:p>
        </w:tc>
      </w:tr>
      <w:tr>
        <w:tc>
          <w:tcPr>
            <w:tcW w:type="dxa" w:w="488"/>
            <w:tcBorders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1000000">
            <w:pPr>
              <w:ind/>
              <w:jc w:val="center"/>
            </w:pPr>
          </w:p>
        </w:tc>
        <w:tc>
          <w:tcPr>
            <w:tcW w:type="dxa" w:w="48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127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38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2000000">
            <w:pPr>
              <w:ind w:firstLine="0" w:left="29"/>
            </w:pPr>
            <w:r>
              <w:t>Р</w:t>
            </w:r>
            <w:r>
              <w:t>7</w:t>
            </w:r>
            <w:r>
              <w:t xml:space="preserve"> &gt;= 0,1</w:t>
            </w:r>
          </w:p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3000000">
            <w:pPr>
              <w:ind/>
              <w:jc w:val="center"/>
            </w:pPr>
            <w:r>
              <w:t>0</w:t>
            </w:r>
          </w:p>
        </w:tc>
        <w:tc>
          <w:tcPr>
            <w:tcW w:type="dxa" w:w="56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107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284"/>
            <w:tcBorders>
              <w:lef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4000000">
            <w:pPr>
              <w:ind/>
              <w:jc w:val="center"/>
            </w:pPr>
            <w:r>
              <w:t>»</w:t>
            </w:r>
            <w:r>
              <w:t>;</w:t>
            </w:r>
          </w:p>
        </w:tc>
      </w:tr>
    </w:tbl>
    <w:p w14:paraId="35000000">
      <w:pPr>
        <w:ind/>
        <w:jc w:val="both"/>
        <w:rPr>
          <w:sz w:val="22"/>
        </w:rPr>
      </w:pPr>
    </w:p>
    <w:p w14:paraId="36000000">
      <w:pPr>
        <w:ind w:firstLine="709" w:left="0"/>
        <w:jc w:val="both"/>
        <w:rPr>
          <w:sz w:val="26"/>
        </w:rPr>
      </w:pPr>
    </w:p>
    <w:p w14:paraId="37000000">
      <w:pPr>
        <w:ind w:firstLine="709" w:left="0"/>
        <w:jc w:val="both"/>
        <w:rPr>
          <w:sz w:val="28"/>
        </w:rPr>
      </w:pPr>
      <w:r>
        <w:rPr>
          <w:sz w:val="26"/>
        </w:rPr>
        <w:t>б</w:t>
      </w:r>
      <w:r>
        <w:rPr>
          <w:sz w:val="26"/>
        </w:rPr>
        <w:t xml:space="preserve">) </w:t>
      </w:r>
      <w:r>
        <w:rPr>
          <w:sz w:val="28"/>
        </w:rPr>
        <w:t>строку 5.9 изложить в следующей редакции:</w:t>
      </w:r>
    </w:p>
    <w:tbl>
      <w:tblPr>
        <w:tblStyle w:val="Style_4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680"/>
        <w:gridCol w:w="680"/>
        <w:gridCol w:w="1367"/>
        <w:gridCol w:w="2693"/>
        <w:gridCol w:w="709"/>
        <w:gridCol w:w="850"/>
        <w:gridCol w:w="709"/>
        <w:gridCol w:w="1418"/>
        <w:gridCol w:w="454"/>
      </w:tblGrid>
      <w:tr>
        <w:tc>
          <w:tcPr>
            <w:tcW w:type="dxa" w:w="680"/>
            <w:tcBorders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8000000">
            <w:pPr>
              <w:ind/>
              <w:jc w:val="center"/>
            </w:pPr>
            <w:r>
              <w:t>«</w:t>
            </w:r>
          </w:p>
        </w:tc>
        <w:tc>
          <w:tcPr>
            <w:tcW w:type="dxa" w:w="68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9000000">
            <w:pPr>
              <w:ind/>
              <w:jc w:val="center"/>
            </w:pPr>
            <w:r>
              <w:t>5.9</w:t>
            </w:r>
          </w:p>
        </w:tc>
        <w:tc>
          <w:tcPr>
            <w:tcW w:type="dxa" w:w="136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A000000">
            <w:r>
              <w:t>Результаты внешней проверки годовой бюджетной отчетности главного администратора бюджетных средств</w:t>
            </w:r>
          </w:p>
        </w:tc>
        <w:tc>
          <w:tcPr>
            <w:tcW w:type="dxa" w:w="2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B000000">
            <w:r>
              <w:t>Р32 - наличие нарушений и недостатков в годовой бюджетной отчетности главного администратора бюджетных сре</w:t>
            </w:r>
            <w:r>
              <w:t>дств в ч</w:t>
            </w:r>
            <w:r>
              <w:t>асти ведения бюджетного учета и формирования бюджетной отчетности, за исключением вопросов ведения учета уполномоченной организацией (централизованной бухгалтерией) (далее – нарушения и недостатки), представленной главными администраторами, по результатам внешней проверки</w:t>
            </w:r>
          </w:p>
        </w:tc>
        <w:tc>
          <w:tcPr>
            <w:tcW w:type="dxa" w:w="70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C000000">
            <w:pPr>
              <w:ind/>
              <w:jc w:val="center"/>
            </w:pPr>
            <w:r>
              <w:t>усл</w:t>
            </w:r>
            <w:r>
              <w:t>. ед.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D000000">
            <w:pPr>
              <w:ind/>
              <w:jc w:val="center"/>
              <w:outlineLvl w:val="0"/>
            </w:pPr>
          </w:p>
        </w:tc>
        <w:tc>
          <w:tcPr>
            <w:tcW w:type="dxa" w:w="70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E000000"/>
        </w:tc>
        <w:tc>
          <w:tcPr>
            <w:tcW w:type="dxa" w:w="141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F000000">
            <w:r>
              <w:t>Ориентиром является отсутствие нарушений и недостатков по результатам внешней проверки годовой бюджетной отчетности главного администратора бюджетных сре</w:t>
            </w:r>
            <w:r>
              <w:t>дств в ч</w:t>
            </w:r>
            <w:r>
              <w:t>асти ведения бюджетного учета и формирования бюджетной отчетности</w:t>
            </w:r>
          </w:p>
        </w:tc>
        <w:tc>
          <w:tcPr>
            <w:tcW w:type="dxa" w:w="454"/>
            <w:vMerge w:val="restart"/>
            <w:tcBorders>
              <w:lef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bottom"/>
          </w:tcPr>
          <w:p w14:paraId="40000000">
            <w:pPr>
              <w:ind/>
              <w:jc w:val="center"/>
            </w:pPr>
            <w:r>
              <w:t>».</w:t>
            </w:r>
          </w:p>
        </w:tc>
      </w:tr>
      <w:tr>
        <w:tc>
          <w:tcPr>
            <w:tcW w:type="dxa" w:w="680"/>
            <w:tcBorders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1000000"/>
        </w:tc>
        <w:tc>
          <w:tcPr>
            <w:tcW w:type="dxa" w:w="68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136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2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2000000">
            <w:r>
              <w:t>- нарушения и недостатки в годовой бюджетной отчетности отсутствуют</w:t>
            </w:r>
          </w:p>
        </w:tc>
        <w:tc>
          <w:tcPr>
            <w:tcW w:type="dxa" w:w="70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3000000">
            <w:pPr>
              <w:ind/>
              <w:jc w:val="center"/>
            </w:pPr>
            <w:r>
              <w:t>5</w:t>
            </w:r>
          </w:p>
        </w:tc>
        <w:tc>
          <w:tcPr>
            <w:tcW w:type="dxa" w:w="70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141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454"/>
            <w:gridSpan w:val="1"/>
            <w:vMerge w:val="continue"/>
            <w:tcBorders>
              <w:lef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bottom"/>
          </w:tcPr>
          <w:p/>
        </w:tc>
      </w:tr>
      <w:tr>
        <w:tc>
          <w:tcPr>
            <w:tcW w:type="dxa" w:w="680"/>
            <w:tcBorders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4000000">
            <w:pPr>
              <w:ind/>
              <w:jc w:val="center"/>
            </w:pPr>
          </w:p>
        </w:tc>
        <w:tc>
          <w:tcPr>
            <w:tcW w:type="dxa" w:w="68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136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2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5000000">
            <w:r>
              <w:t>- выявлены нарушения и недостатки, не повлекшие искажение показателей годовой бюджетной отчетности</w:t>
            </w:r>
          </w:p>
        </w:tc>
        <w:tc>
          <w:tcPr>
            <w:tcW w:type="dxa" w:w="70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6000000">
            <w:pPr>
              <w:ind/>
              <w:jc w:val="center"/>
            </w:pPr>
            <w:r>
              <w:t>3</w:t>
            </w:r>
          </w:p>
        </w:tc>
        <w:tc>
          <w:tcPr>
            <w:tcW w:type="dxa" w:w="70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141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454"/>
            <w:gridSpan w:val="1"/>
            <w:vMerge w:val="continue"/>
            <w:tcBorders>
              <w:lef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bottom"/>
          </w:tcPr>
          <w:p/>
        </w:tc>
      </w:tr>
      <w:tr>
        <w:tc>
          <w:tcPr>
            <w:tcW w:type="dxa" w:w="680"/>
            <w:tcBorders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7000000">
            <w:pPr>
              <w:ind/>
              <w:jc w:val="center"/>
            </w:pPr>
          </w:p>
        </w:tc>
        <w:tc>
          <w:tcPr>
            <w:tcW w:type="dxa" w:w="68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136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2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8000000">
            <w:r>
              <w:t>- выявлены нарушения и недостатки, повлекшие искажение показателей годовой бюджетной отчетности</w:t>
            </w:r>
          </w:p>
        </w:tc>
        <w:tc>
          <w:tcPr>
            <w:tcW w:type="dxa" w:w="70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9000000">
            <w:pPr>
              <w:ind/>
              <w:jc w:val="center"/>
            </w:pPr>
            <w:r>
              <w:t>0</w:t>
            </w:r>
          </w:p>
        </w:tc>
        <w:tc>
          <w:tcPr>
            <w:tcW w:type="dxa" w:w="70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141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454"/>
            <w:gridSpan w:val="1"/>
            <w:vMerge w:val="continue"/>
            <w:tcBorders>
              <w:lef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bottom"/>
          </w:tcPr>
          <w:p/>
        </w:tc>
      </w:tr>
    </w:tbl>
    <w:p w14:paraId="4A000000">
      <w:pPr>
        <w:ind w:firstLine="709" w:left="0"/>
        <w:jc w:val="both"/>
        <w:rPr>
          <w:sz w:val="28"/>
        </w:rPr>
      </w:pPr>
    </w:p>
    <w:sectPr>
      <w:headerReference r:id="rId2" w:type="first"/>
      <w:headerReference r:id="rId1" w:type="default"/>
      <w:pgSz w:h="16840" w:orient="portrait" w:w="11907"/>
      <w:pgMar w:bottom="567" w:footer="0" w:gutter="0" w:header="0" w:left="1701" w:right="1134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center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1000000">
    <w:pPr>
      <w:pStyle w:val="Style_1"/>
      <w:ind/>
      <w:jc w:val="center"/>
    </w:pPr>
  </w:p>
  <w:p w14:paraId="02000000">
    <w:pPr>
      <w:pStyle w:val="Style_1"/>
      <w:ind/>
      <w:jc w:val="center"/>
    </w:pPr>
  </w:p>
  <w:p w14:paraId="03000000">
    <w:pPr>
      <w:pStyle w:val="Style_1"/>
      <w:ind/>
      <w:jc w:val="center"/>
    </w:pPr>
  </w:p>
  <w:p w14:paraId="04000000">
    <w:pPr>
      <w:pStyle w:val="Style_1"/>
      <w:ind/>
      <w:jc w:val="center"/>
    </w:pPr>
  </w:p>
</w:hd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05000000">
    <w:pPr>
      <w:pStyle w:val="Style_1"/>
      <w:ind/>
      <w:jc w:val="center"/>
    </w:pPr>
  </w:p>
  <w:p w14:paraId="06000000">
    <w:pPr>
      <w:pStyle w:val="Style_1"/>
    </w:pP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ind w:hanging="360" w:left="900"/>
      </w:pPr>
      <w:rPr>
        <w:sz w:val="28"/>
      </w:rPr>
    </w:lvl>
    <w:lvl w:ilvl="1">
      <w:start w:val="1"/>
      <w:numFmt w:val="lowerLetter"/>
      <w:lvlText w:val="%2."/>
      <w:lvlJc w:val="left"/>
      <w:pPr>
        <w:ind w:hanging="360" w:left="1620"/>
      </w:pPr>
    </w:lvl>
    <w:lvl w:ilvl="2">
      <w:start w:val="1"/>
      <w:numFmt w:val="lowerRoman"/>
      <w:lvlText w:val="%3."/>
      <w:lvlJc w:val="right"/>
      <w:pPr>
        <w:ind w:hanging="180" w:left="2340"/>
      </w:pPr>
    </w:lvl>
    <w:lvl w:ilvl="3">
      <w:start w:val="1"/>
      <w:numFmt w:val="decimal"/>
      <w:lvlText w:val="%4."/>
      <w:lvlJc w:val="left"/>
      <w:pPr>
        <w:ind w:hanging="360" w:left="3060"/>
      </w:pPr>
    </w:lvl>
    <w:lvl w:ilvl="4">
      <w:start w:val="1"/>
      <w:numFmt w:val="lowerLetter"/>
      <w:lvlText w:val="%5."/>
      <w:lvlJc w:val="left"/>
      <w:pPr>
        <w:ind w:hanging="360" w:left="3780"/>
      </w:pPr>
    </w:lvl>
    <w:lvl w:ilvl="5">
      <w:start w:val="1"/>
      <w:numFmt w:val="lowerRoman"/>
      <w:lvlText w:val="%6."/>
      <w:lvlJc w:val="right"/>
      <w:pPr>
        <w:ind w:hanging="180" w:left="4500"/>
      </w:pPr>
    </w:lvl>
    <w:lvl w:ilvl="6">
      <w:start w:val="1"/>
      <w:numFmt w:val="decimal"/>
      <w:lvlText w:val="%7."/>
      <w:lvlJc w:val="left"/>
      <w:pPr>
        <w:ind w:hanging="360" w:left="5220"/>
      </w:pPr>
    </w:lvl>
    <w:lvl w:ilvl="7">
      <w:start w:val="1"/>
      <w:numFmt w:val="lowerLetter"/>
      <w:lvlText w:val="%8."/>
      <w:lvlJc w:val="left"/>
      <w:pPr>
        <w:ind w:hanging="360" w:left="5940"/>
      </w:pPr>
    </w:lvl>
    <w:lvl w:ilvl="8">
      <w:start w:val="1"/>
      <w:numFmt w:val="lowerRoman"/>
      <w:lvlText w:val="%9."/>
      <w:lvlJc w:val="right"/>
      <w:pPr>
        <w:ind w:hanging="180" w:left="6660"/>
      </w:pPr>
    </w:lvl>
  </w:abstractNum>
  <w:abstractNum w:abstractNumId="1">
    <w:lvl w:ilvl="0">
      <w:start w:val="3"/>
      <w:numFmt w:val="decimal"/>
      <w:lvlText w:val="%1."/>
      <w:lvlJc w:val="left"/>
      <w:pPr>
        <w:ind w:hanging="360" w:left="1260"/>
      </w:pPr>
    </w:lvl>
    <w:lvl w:ilvl="1">
      <w:start w:val="1"/>
      <w:numFmt w:val="lowerLetter"/>
      <w:lvlText w:val="%2."/>
      <w:lvlJc w:val="left"/>
      <w:pPr>
        <w:ind w:hanging="360" w:left="1980"/>
      </w:pPr>
    </w:lvl>
    <w:lvl w:ilvl="2">
      <w:start w:val="1"/>
      <w:numFmt w:val="lowerRoman"/>
      <w:lvlText w:val="%3."/>
      <w:lvlJc w:val="right"/>
      <w:pPr>
        <w:ind w:hanging="180" w:left="2700"/>
      </w:pPr>
    </w:lvl>
    <w:lvl w:ilvl="3">
      <w:start w:val="1"/>
      <w:numFmt w:val="decimal"/>
      <w:lvlText w:val="%4."/>
      <w:lvlJc w:val="left"/>
      <w:pPr>
        <w:ind w:hanging="360" w:left="3420"/>
      </w:pPr>
    </w:lvl>
    <w:lvl w:ilvl="4">
      <w:start w:val="1"/>
      <w:numFmt w:val="lowerLetter"/>
      <w:lvlText w:val="%5."/>
      <w:lvlJc w:val="left"/>
      <w:pPr>
        <w:ind w:hanging="360" w:left="4140"/>
      </w:pPr>
    </w:lvl>
    <w:lvl w:ilvl="5">
      <w:start w:val="1"/>
      <w:numFmt w:val="lowerRoman"/>
      <w:lvlText w:val="%6."/>
      <w:lvlJc w:val="right"/>
      <w:pPr>
        <w:ind w:hanging="180" w:left="4860"/>
      </w:pPr>
    </w:lvl>
    <w:lvl w:ilvl="6">
      <w:start w:val="1"/>
      <w:numFmt w:val="decimal"/>
      <w:lvlText w:val="%7."/>
      <w:lvlJc w:val="left"/>
      <w:pPr>
        <w:ind w:hanging="360" w:left="5580"/>
      </w:pPr>
    </w:lvl>
    <w:lvl w:ilvl="7">
      <w:start w:val="1"/>
      <w:numFmt w:val="lowerLetter"/>
      <w:lvlText w:val="%8."/>
      <w:lvlJc w:val="left"/>
      <w:pPr>
        <w:ind w:hanging="360" w:left="6300"/>
      </w:pPr>
    </w:lvl>
    <w:lvl w:ilvl="8">
      <w:start w:val="1"/>
      <w:numFmt w:val="lowerRoman"/>
      <w:lvlText w:val="%9."/>
      <w:lvlJc w:val="right"/>
      <w:pPr>
        <w:ind w:hanging="180" w:left="70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  <w:pPr>
      <w:spacing w:after="0" w:line="240" w:lineRule="auto"/>
      <w:ind/>
    </w:pPr>
    <w:rPr>
      <w:rFonts w:ascii="Times New Roman" w:hAnsi="Times New Roman"/>
      <w:sz w:val="20"/>
    </w:rPr>
  </w:style>
  <w:style w:default="1" w:styleId="Style_5_ch" w:type="character">
    <w:name w:val="Normal"/>
    <w:link w:val="Style_5"/>
    <w:rPr>
      <w:rFonts w:ascii="Times New Roman" w:hAnsi="Times New Roman"/>
      <w:sz w:val="20"/>
    </w:rPr>
  </w:style>
  <w:style w:styleId="Style_3" w:type="paragraph">
    <w:name w:val="List Paragraph"/>
    <w:basedOn w:val="Style_5"/>
    <w:link w:val="Style_3_ch"/>
    <w:pPr>
      <w:ind w:firstLine="0" w:left="720"/>
      <w:contextualSpacing w:val="1"/>
    </w:pPr>
  </w:style>
  <w:style w:styleId="Style_3_ch" w:type="character">
    <w:name w:val="List Paragraph"/>
    <w:basedOn w:val="Style_5_ch"/>
    <w:link w:val="Style_3"/>
  </w:style>
  <w:style w:styleId="Style_6" w:type="paragraph">
    <w:name w:val="toc 2"/>
    <w:next w:val="Style_5"/>
    <w:link w:val="Style_6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6_ch" w:type="character">
    <w:name w:val="toc 2"/>
    <w:link w:val="Style_6"/>
    <w:rPr>
      <w:rFonts w:ascii="XO Thames" w:hAnsi="XO Thames"/>
      <w:sz w:val="28"/>
    </w:rPr>
  </w:style>
  <w:style w:styleId="Style_7" w:type="paragraph">
    <w:name w:val="Placeholder Text"/>
    <w:basedOn w:val="Style_8"/>
    <w:link w:val="Style_7_ch"/>
    <w:rPr>
      <w:color w:val="808080"/>
    </w:rPr>
  </w:style>
  <w:style w:styleId="Style_7_ch" w:type="character">
    <w:name w:val="Placeholder Text"/>
    <w:basedOn w:val="Style_8_ch"/>
    <w:link w:val="Style_7"/>
    <w:rPr>
      <w:color w:val="808080"/>
    </w:rPr>
  </w:style>
  <w:style w:styleId="Style_9" w:type="paragraph">
    <w:name w:val="toc 4"/>
    <w:next w:val="Style_5"/>
    <w:link w:val="Style_9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9_ch" w:type="character">
    <w:name w:val="toc 4"/>
    <w:link w:val="Style_9"/>
    <w:rPr>
      <w:rFonts w:ascii="XO Thames" w:hAnsi="XO Thames"/>
      <w:sz w:val="28"/>
    </w:rPr>
  </w:style>
  <w:style w:styleId="Style_10" w:type="paragraph">
    <w:name w:val="toc 6"/>
    <w:next w:val="Style_5"/>
    <w:link w:val="Style_10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0_ch" w:type="character">
    <w:name w:val="toc 6"/>
    <w:link w:val="Style_10"/>
    <w:rPr>
      <w:rFonts w:ascii="XO Thames" w:hAnsi="XO Thames"/>
      <w:sz w:val="28"/>
    </w:rPr>
  </w:style>
  <w:style w:styleId="Style_11" w:type="paragraph">
    <w:name w:val="toc 7"/>
    <w:next w:val="Style_5"/>
    <w:link w:val="Style_11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1_ch" w:type="character">
    <w:name w:val="toc 7"/>
    <w:link w:val="Style_11"/>
    <w:rPr>
      <w:rFonts w:ascii="XO Thames" w:hAnsi="XO Thames"/>
      <w:sz w:val="28"/>
    </w:rPr>
  </w:style>
  <w:style w:styleId="Style_12" w:type="paragraph">
    <w:name w:val="heading 3"/>
    <w:next w:val="Style_5"/>
    <w:link w:val="Style_12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2_ch" w:type="character">
    <w:name w:val="heading 3"/>
    <w:link w:val="Style_12"/>
    <w:rPr>
      <w:rFonts w:ascii="XO Thames" w:hAnsi="XO Thames"/>
      <w:b w:val="1"/>
      <w:sz w:val="26"/>
    </w:rPr>
  </w:style>
  <w:style w:styleId="Style_13" w:type="paragraph">
    <w:name w:val="page number"/>
    <w:basedOn w:val="Style_8"/>
    <w:link w:val="Style_13_ch"/>
  </w:style>
  <w:style w:styleId="Style_13_ch" w:type="character">
    <w:name w:val="page number"/>
    <w:basedOn w:val="Style_8_ch"/>
    <w:link w:val="Style_13"/>
  </w:style>
  <w:style w:styleId="Style_14" w:type="paragraph">
    <w:name w:val="Balloon Text"/>
    <w:basedOn w:val="Style_5"/>
    <w:link w:val="Style_14_ch"/>
    <w:rPr>
      <w:rFonts w:ascii="Tahoma" w:hAnsi="Tahoma"/>
      <w:sz w:val="16"/>
    </w:rPr>
  </w:style>
  <w:style w:styleId="Style_14_ch" w:type="character">
    <w:name w:val="Balloon Text"/>
    <w:basedOn w:val="Style_5_ch"/>
    <w:link w:val="Style_14"/>
    <w:rPr>
      <w:rFonts w:ascii="Tahoma" w:hAnsi="Tahoma"/>
      <w:sz w:val="16"/>
    </w:rPr>
  </w:style>
  <w:style w:styleId="Style_15" w:type="paragraph">
    <w:name w:val="toc 3"/>
    <w:next w:val="Style_5"/>
    <w:link w:val="Style_15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5_ch" w:type="character">
    <w:name w:val="toc 3"/>
    <w:link w:val="Style_15"/>
    <w:rPr>
      <w:rFonts w:ascii="XO Thames" w:hAnsi="XO Thames"/>
      <w:sz w:val="28"/>
    </w:rPr>
  </w:style>
  <w:style w:styleId="Style_8" w:type="paragraph">
    <w:name w:val="Default Paragraph Font"/>
    <w:link w:val="Style_8_ch"/>
  </w:style>
  <w:style w:styleId="Style_8_ch" w:type="character">
    <w:name w:val="Default Paragraph Font"/>
    <w:link w:val="Style_8"/>
  </w:style>
  <w:style w:styleId="Style_1" w:type="paragraph">
    <w:name w:val="header"/>
    <w:basedOn w:val="Style_5"/>
    <w:link w:val="Style_1_ch"/>
    <w:pPr>
      <w:tabs>
        <w:tab w:leader="none" w:pos="4153" w:val="center"/>
        <w:tab w:leader="none" w:pos="8306" w:val="right"/>
      </w:tabs>
      <w:ind/>
    </w:pPr>
  </w:style>
  <w:style w:styleId="Style_1_ch" w:type="character">
    <w:name w:val="header"/>
    <w:basedOn w:val="Style_5_ch"/>
    <w:link w:val="Style_1"/>
  </w:style>
  <w:style w:styleId="Style_16" w:type="paragraph">
    <w:name w:val="heading 5"/>
    <w:next w:val="Style_5"/>
    <w:link w:val="Style_16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6_ch" w:type="character">
    <w:name w:val="heading 5"/>
    <w:link w:val="Style_16"/>
    <w:rPr>
      <w:rFonts w:ascii="XO Thames" w:hAnsi="XO Thames"/>
      <w:b w:val="1"/>
      <w:sz w:val="22"/>
    </w:rPr>
  </w:style>
  <w:style w:styleId="Style_17" w:type="paragraph">
    <w:name w:val="heading 1"/>
    <w:next w:val="Style_5"/>
    <w:link w:val="Style_17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7_ch" w:type="character">
    <w:name w:val="heading 1"/>
    <w:link w:val="Style_17"/>
    <w:rPr>
      <w:rFonts w:ascii="XO Thames" w:hAnsi="XO Thames"/>
      <w:b w:val="1"/>
      <w:sz w:val="32"/>
    </w:rPr>
  </w:style>
  <w:style w:styleId="Style_18" w:type="paragraph">
    <w:name w:val="Hyperlink"/>
    <w:basedOn w:val="Style_8"/>
    <w:link w:val="Style_18_ch"/>
    <w:rPr>
      <w:color w:themeColor="hyperlink" w:val="0000FF"/>
      <w:u w:val="single"/>
    </w:rPr>
  </w:style>
  <w:style w:styleId="Style_18_ch" w:type="character">
    <w:name w:val="Hyperlink"/>
    <w:basedOn w:val="Style_8_ch"/>
    <w:link w:val="Style_18"/>
    <w:rPr>
      <w:color w:themeColor="hyperlink" w:val="0000FF"/>
      <w:u w:val="single"/>
    </w:rPr>
  </w:style>
  <w:style w:styleId="Style_19" w:type="paragraph">
    <w:name w:val="Footnote"/>
    <w:link w:val="Style_19_ch"/>
    <w:pPr>
      <w:ind w:firstLine="851" w:left="0"/>
      <w:jc w:val="both"/>
    </w:pPr>
    <w:rPr>
      <w:rFonts w:ascii="XO Thames" w:hAnsi="XO Thames"/>
      <w:sz w:val="22"/>
    </w:rPr>
  </w:style>
  <w:style w:styleId="Style_19_ch" w:type="character">
    <w:name w:val="Footnote"/>
    <w:link w:val="Style_19"/>
    <w:rPr>
      <w:rFonts w:ascii="XO Thames" w:hAnsi="XO Thames"/>
      <w:sz w:val="22"/>
    </w:rPr>
  </w:style>
  <w:style w:styleId="Style_20" w:type="paragraph">
    <w:name w:val="toc 1"/>
    <w:next w:val="Style_5"/>
    <w:link w:val="Style_20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0_ch" w:type="character">
    <w:name w:val="toc 1"/>
    <w:link w:val="Style_20"/>
    <w:rPr>
      <w:rFonts w:ascii="XO Thames" w:hAnsi="XO Thames"/>
      <w:b w:val="1"/>
      <w:sz w:val="28"/>
    </w:rPr>
  </w:style>
  <w:style w:styleId="Style_21" w:type="paragraph">
    <w:name w:val="Header and Footer"/>
    <w:link w:val="Style_21_ch"/>
    <w:pPr>
      <w:spacing w:line="240" w:lineRule="auto"/>
      <w:ind/>
      <w:jc w:val="both"/>
    </w:pPr>
    <w:rPr>
      <w:rFonts w:ascii="XO Thames" w:hAnsi="XO Thames"/>
      <w:sz w:val="20"/>
    </w:rPr>
  </w:style>
  <w:style w:styleId="Style_21_ch" w:type="character">
    <w:name w:val="Header and Footer"/>
    <w:link w:val="Style_21"/>
    <w:rPr>
      <w:rFonts w:ascii="XO Thames" w:hAnsi="XO Thames"/>
      <w:sz w:val="20"/>
    </w:rPr>
  </w:style>
  <w:style w:styleId="Style_22" w:type="paragraph">
    <w:name w:val="toc 9"/>
    <w:next w:val="Style_5"/>
    <w:link w:val="Style_22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2_ch" w:type="character">
    <w:name w:val="toc 9"/>
    <w:link w:val="Style_22"/>
    <w:rPr>
      <w:rFonts w:ascii="XO Thames" w:hAnsi="XO Thames"/>
      <w:sz w:val="28"/>
    </w:rPr>
  </w:style>
  <w:style w:styleId="Style_23" w:type="paragraph">
    <w:name w:val="toc 8"/>
    <w:next w:val="Style_5"/>
    <w:link w:val="Style_23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3_ch" w:type="character">
    <w:name w:val="toc 8"/>
    <w:link w:val="Style_23"/>
    <w:rPr>
      <w:rFonts w:ascii="XO Thames" w:hAnsi="XO Thames"/>
      <w:sz w:val="28"/>
    </w:rPr>
  </w:style>
  <w:style w:styleId="Style_24" w:type="paragraph">
    <w:name w:val="toc 5"/>
    <w:next w:val="Style_5"/>
    <w:link w:val="Style_24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4_ch" w:type="character">
    <w:name w:val="toc 5"/>
    <w:link w:val="Style_24"/>
    <w:rPr>
      <w:rFonts w:ascii="XO Thames" w:hAnsi="XO Thames"/>
      <w:sz w:val="28"/>
    </w:rPr>
  </w:style>
  <w:style w:styleId="Style_25" w:type="paragraph">
    <w:name w:val="Subtitle"/>
    <w:next w:val="Style_5"/>
    <w:link w:val="Style_25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5_ch" w:type="character">
    <w:name w:val="Subtitle"/>
    <w:link w:val="Style_25"/>
    <w:rPr>
      <w:rFonts w:ascii="XO Thames" w:hAnsi="XO Thames"/>
      <w:i w:val="1"/>
      <w:sz w:val="24"/>
    </w:rPr>
  </w:style>
  <w:style w:styleId="Style_2" w:type="paragraph">
    <w:name w:val="ConsPlusNormal"/>
    <w:link w:val="Style_2_ch"/>
    <w:pPr>
      <w:spacing w:after="0" w:line="240" w:lineRule="auto"/>
      <w:ind/>
    </w:pPr>
    <w:rPr>
      <w:rFonts w:ascii="Times New Roman" w:hAnsi="Times New Roman"/>
      <w:sz w:val="28"/>
    </w:rPr>
  </w:style>
  <w:style w:styleId="Style_2_ch" w:type="character">
    <w:name w:val="ConsPlusNormal"/>
    <w:link w:val="Style_2"/>
    <w:rPr>
      <w:rFonts w:ascii="Times New Roman" w:hAnsi="Times New Roman"/>
      <w:sz w:val="28"/>
    </w:rPr>
  </w:style>
  <w:style w:styleId="Style_26" w:type="paragraph">
    <w:name w:val="Title"/>
    <w:next w:val="Style_5"/>
    <w:link w:val="Style_26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6_ch" w:type="character">
    <w:name w:val="Title"/>
    <w:link w:val="Style_26"/>
    <w:rPr>
      <w:rFonts w:ascii="XO Thames" w:hAnsi="XO Thames"/>
      <w:b w:val="1"/>
      <w:caps w:val="1"/>
      <w:sz w:val="40"/>
    </w:rPr>
  </w:style>
  <w:style w:styleId="Style_27" w:type="paragraph">
    <w:name w:val="heading 4"/>
    <w:next w:val="Style_5"/>
    <w:link w:val="Style_27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7_ch" w:type="character">
    <w:name w:val="heading 4"/>
    <w:link w:val="Style_27"/>
    <w:rPr>
      <w:rFonts w:ascii="XO Thames" w:hAnsi="XO Thames"/>
      <w:b w:val="1"/>
      <w:sz w:val="24"/>
    </w:rPr>
  </w:style>
  <w:style w:styleId="Style_28" w:type="paragraph">
    <w:name w:val="heading 2"/>
    <w:next w:val="Style_5"/>
    <w:link w:val="Style_28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8_ch" w:type="character">
    <w:name w:val="heading 2"/>
    <w:link w:val="Style_28"/>
    <w:rPr>
      <w:rFonts w:ascii="XO Thames" w:hAnsi="XO Thames"/>
      <w:b w:val="1"/>
      <w:sz w:val="28"/>
    </w:rPr>
  </w:style>
  <w:style w:default="1" w:styleId="Style_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29" w:type="table">
    <w:name w:val="Table Grid"/>
    <w:basedOn w:val="Style_4"/>
    <w:pPr>
      <w:spacing w:after="0" w:line="240" w:lineRule="auto"/>
      <w:ind/>
    </w:p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9" Target="numbering.xml" Type="http://schemas.openxmlformats.org/officeDocument/2006/relationships/numbering"/>
  <Relationship Id="rId8" Target="theme/theme1.xml" Type="http://schemas.openxmlformats.org/officeDocument/2006/relationships/theme"/>
  <Relationship Id="rId7" Target="webSettings.xml" Type="http://schemas.openxmlformats.org/officeDocument/2006/relationships/webSettings"/>
  <Relationship Id="rId6" Target="stylesWithEffects.xml" Type="http://schemas.microsoft.com/office/2007/relationships/stylesWithEffects"/>
  <Relationship Id="rId5" Target="styles.xml" Type="http://schemas.openxmlformats.org/officeDocument/2006/relationships/styles"/>
  <Relationship Id="rId4" Target="settings.xml" Type="http://schemas.openxmlformats.org/officeDocument/2006/relationships/settings"/>
  <Relationship Id="rId3" Target="fontTable.xml" Type="http://schemas.openxmlformats.org/officeDocument/2006/relationships/fontTable"/>
  <Relationship Id="rId2" Target="header2.xml" Type="http://schemas.openxmlformats.org/officeDocument/2006/relationships/header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MyOffice-CoreFramework-Windows/26-1013.725.7203.647.3@RELEASE-DESKTOP-YERBA-RC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2024-04-22T09:44:16Z</dcterms:modified>
</cp:coreProperties>
</file>