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rPr>
          <w:b/>
          <w:bCs/>
          <w:color w:val="auto"/>
        </w:rPr>
      </w:pPr>
      <w:r>
        <w:rPr>
          <w:color w:val="auto"/>
        </w:rPr>
      </w:r>
      <w:r>
        <w:rPr>
          <w:b/>
          <w:bCs/>
          <w:color w:val="auto"/>
        </w:rPr>
        <w:t xml:space="preserve">  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firstLine="708"/>
        <w:jc w:val="both"/>
        <w:rPr>
          <w:color w:val="auto"/>
        </w:rPr>
      </w:pPr>
      <w:r>
        <w:rPr>
          <w:b/>
          <w:bCs/>
          <w:color w:val="auto"/>
          <w:sz w:val="26"/>
          <w:szCs w:val="26"/>
          <w:highlight w:val="none"/>
        </w:rPr>
        <w:t xml:space="preserve">ПАО «Промсвязьбанк»</w:t>
      </w:r>
      <w:r>
        <w:rPr>
          <w:b w:val="0"/>
          <w:bCs w:val="0"/>
          <w:color w:val="auto"/>
          <w:sz w:val="26"/>
          <w:szCs w:val="26"/>
          <w:highlight w:val="none"/>
        </w:rPr>
        <w:t xml:space="preserve"> с </w:t>
      </w:r>
      <w:r>
        <w:rPr>
          <w:b w:val="0"/>
          <w:bCs w:val="0"/>
          <w:color w:val="auto"/>
          <w:sz w:val="26"/>
          <w:szCs w:val="26"/>
          <w:highlight w:val="none"/>
        </w:rPr>
        <w:t xml:space="preserve">17.03.2025 года </w:t>
      </w:r>
      <w:r>
        <w:rPr>
          <w:b w:val="0"/>
          <w:bCs w:val="0"/>
          <w:color w:val="auto"/>
          <w:sz w:val="26"/>
          <w:szCs w:val="26"/>
          <w:highlight w:val="none"/>
        </w:rPr>
        <w:t xml:space="preserve">начал прием заявок по программам «Госпрограмма. Новые Субъекты 2%» и «Госпрограмма. Новые субъекты. Готовый дом 2%», которые включают в себя приобре</w:t>
      </w:r>
      <w:r>
        <w:rPr>
          <w:b w:val="0"/>
          <w:bCs w:val="0"/>
          <w:color w:val="auto"/>
          <w:sz w:val="26"/>
          <w:szCs w:val="26"/>
          <w:highlight w:val="none"/>
        </w:rPr>
        <w:t xml:space="preserve">тение имущества на первичном и вторичном рынке недвижимости на территории Курской области гражданами РФ, которым была предоставлена выплата из бюджета Курской области в связи с утерей или повреждением жилья, находящегося на приграничной территории региона.</w:t>
      </w:r>
      <w:r>
        <w:rPr>
          <w:color w:val="auto"/>
        </w:rPr>
      </w:r>
      <w:r>
        <w:rPr>
          <w:color w:val="auto"/>
        </w:rPr>
      </w:r>
    </w:p>
    <w:p>
      <w:pPr>
        <w:ind w:left="0" w:firstLine="708"/>
        <w:jc w:val="both"/>
        <w:rPr>
          <w:b w:val="0"/>
          <w:bCs w:val="0"/>
          <w:color w:val="auto"/>
          <w:sz w:val="26"/>
          <w:szCs w:val="26"/>
          <w:highlight w:val="none"/>
        </w:rPr>
      </w:pPr>
      <w:r>
        <w:rPr>
          <w:b w:val="0"/>
          <w:bCs w:val="0"/>
          <w:color w:val="auto"/>
          <w:sz w:val="26"/>
          <w:szCs w:val="26"/>
          <w:highlight w:val="none"/>
        </w:rPr>
        <w:t xml:space="preserve">В соответствии с данными программами ПАО «Банк ПСБ» предоставляет ипотечные кредиты на </w:t>
      </w:r>
      <w:r>
        <w:rPr>
          <w:b w:val="0"/>
          <w:bCs w:val="0"/>
          <w:color w:val="auto"/>
          <w:sz w:val="26"/>
          <w:szCs w:val="26"/>
          <w:highlight w:val="none"/>
        </w:rPr>
        <w:t xml:space="preserve">приобретение</w:t>
      </w:r>
      <w:r>
        <w:rPr>
          <w:b w:val="0"/>
          <w:bCs w:val="0"/>
          <w:color w:val="auto"/>
          <w:sz w:val="26"/>
          <w:szCs w:val="26"/>
          <w:highlight w:val="none"/>
        </w:rPr>
        <w:t xml:space="preserve">:</w:t>
      </w:r>
      <w:r>
        <w:rPr>
          <w:b w:val="0"/>
          <w:bCs w:val="0"/>
          <w:color w:val="auto"/>
          <w:sz w:val="26"/>
          <w:szCs w:val="26"/>
          <w:highlight w:val="none"/>
        </w:rPr>
      </w:r>
      <w:r>
        <w:rPr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752"/>
        <w:numPr>
          <w:ilvl w:val="0"/>
          <w:numId w:val="12"/>
        </w:numPr>
        <w:jc w:val="both"/>
        <w:rPr>
          <w:b w:val="0"/>
          <w:bCs w:val="0"/>
          <w:color w:val="auto"/>
          <w:sz w:val="26"/>
          <w:szCs w:val="26"/>
          <w:highlight w:val="none"/>
        </w:rPr>
      </w:pPr>
      <w:r>
        <w:rPr>
          <w:b w:val="0"/>
          <w:bCs w:val="0"/>
          <w:color w:val="auto"/>
          <w:sz w:val="26"/>
          <w:szCs w:val="26"/>
          <w:highlight w:val="none"/>
        </w:rPr>
        <w:t xml:space="preserve">новых квартир в готовых и строящихся домах;</w:t>
      </w:r>
      <w:r>
        <w:rPr>
          <w:b w:val="0"/>
          <w:bCs w:val="0"/>
          <w:color w:val="auto"/>
          <w:sz w:val="26"/>
          <w:szCs w:val="26"/>
          <w:highlight w:val="none"/>
        </w:rPr>
      </w:r>
      <w:r>
        <w:rPr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752"/>
        <w:numPr>
          <w:ilvl w:val="0"/>
          <w:numId w:val="11"/>
        </w:numPr>
        <w:jc w:val="both"/>
        <w:rPr>
          <w:b w:val="0"/>
          <w:bCs w:val="0"/>
          <w:color w:val="auto"/>
          <w:sz w:val="26"/>
          <w:szCs w:val="26"/>
          <w:highlight w:val="none"/>
        </w:rPr>
      </w:pPr>
      <w:r>
        <w:rPr>
          <w:b w:val="0"/>
          <w:bCs w:val="0"/>
          <w:color w:val="auto"/>
          <w:sz w:val="26"/>
          <w:szCs w:val="26"/>
          <w:highlight w:val="none"/>
        </w:rPr>
        <w:t xml:space="preserve">квартир на вторичном рынке недвижимости;</w:t>
      </w:r>
      <w:r>
        <w:rPr>
          <w:b w:val="0"/>
          <w:bCs w:val="0"/>
          <w:color w:val="auto"/>
          <w:sz w:val="26"/>
          <w:szCs w:val="26"/>
          <w:highlight w:val="none"/>
        </w:rPr>
      </w:r>
      <w:r>
        <w:rPr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752"/>
        <w:numPr>
          <w:ilvl w:val="0"/>
          <w:numId w:val="11"/>
        </w:numPr>
        <w:jc w:val="both"/>
        <w:rPr>
          <w:b w:val="0"/>
          <w:bCs w:val="0"/>
          <w:color w:val="auto"/>
          <w:sz w:val="26"/>
          <w:szCs w:val="26"/>
          <w:highlight w:val="none"/>
        </w:rPr>
      </w:pPr>
      <w:r>
        <w:rPr>
          <w:b w:val="0"/>
          <w:bCs w:val="0"/>
          <w:color w:val="auto"/>
          <w:sz w:val="26"/>
          <w:szCs w:val="26"/>
          <w:highlight w:val="none"/>
        </w:rPr>
        <w:t xml:space="preserve">готовых домов у застройщика. </w:t>
      </w:r>
      <w:r>
        <w:rPr>
          <w:b w:val="0"/>
          <w:bCs w:val="0"/>
          <w:color w:val="auto"/>
          <w:sz w:val="26"/>
          <w:szCs w:val="26"/>
          <w:highlight w:val="none"/>
        </w:rPr>
      </w:r>
    </w:p>
    <w:p>
      <w:pPr>
        <w:jc w:val="both"/>
        <w:rPr>
          <w:color w:val="auto"/>
          <w:sz w:val="26"/>
          <w:szCs w:val="26"/>
          <w:highlight w:val="none"/>
        </w:rPr>
      </w:pPr>
      <w:r>
        <w:rPr>
          <w:color w:val="auto"/>
          <w:sz w:val="26"/>
          <w:szCs w:val="26"/>
          <w:highlight w:val="none"/>
        </w:rPr>
      </w:r>
      <w:r>
        <w:rPr>
          <w:color w:val="auto"/>
          <w:sz w:val="26"/>
          <w:szCs w:val="26"/>
          <w:highlight w:val="none"/>
        </w:rPr>
      </w:r>
    </w:p>
    <w:p>
      <w:pPr>
        <w:jc w:val="both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  <w:t xml:space="preserve">Ответы на наиболее актуальные вопросы:</w:t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752"/>
        <w:numPr>
          <w:ilvl w:val="0"/>
          <w:numId w:val="8"/>
        </w:numPr>
        <w:jc w:val="both"/>
        <w:rPr>
          <w:b w:val="0"/>
          <w:bCs w:val="0"/>
          <w:color w:val="auto"/>
          <w:sz w:val="26"/>
          <w:szCs w:val="26"/>
          <w:highlight w:val="none"/>
        </w:rPr>
      </w:pPr>
      <w:r>
        <w:rPr>
          <w:b w:val="0"/>
          <w:bCs w:val="0"/>
          <w:color w:val="auto"/>
          <w:sz w:val="26"/>
          <w:szCs w:val="26"/>
          <w:highlight w:val="none"/>
        </w:rPr>
        <w:t xml:space="preserve">наличие отрицательной кредитной истории заемщика не влияет на результат одобрения при наличии в сделке созаемщика с положительной кредитной историей;</w:t>
      </w:r>
      <w:r>
        <w:rPr>
          <w:b w:val="0"/>
          <w:bCs w:val="0"/>
          <w:color w:val="auto"/>
          <w:sz w:val="26"/>
          <w:szCs w:val="26"/>
          <w:highlight w:val="none"/>
        </w:rPr>
      </w:r>
      <w:r>
        <w:rPr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752"/>
        <w:numPr>
          <w:ilvl w:val="0"/>
          <w:numId w:val="6"/>
        </w:numPr>
        <w:jc w:val="both"/>
        <w:rPr>
          <w:color w:val="auto"/>
          <w:sz w:val="26"/>
          <w:szCs w:val="26"/>
          <w:highlight w:val="none"/>
        </w:rPr>
      </w:pPr>
      <w:r>
        <w:rPr>
          <w:b w:val="0"/>
          <w:bCs w:val="0"/>
          <w:color w:val="auto"/>
          <w:sz w:val="26"/>
          <w:szCs w:val="26"/>
          <w:highlight w:val="none"/>
        </w:rPr>
      </w:r>
      <w:r>
        <w:rPr>
          <w:color w:val="auto"/>
          <w:sz w:val="26"/>
          <w:szCs w:val="26"/>
          <w:highlight w:val="none"/>
        </w:rPr>
        <w:t xml:space="preserve">если заемщик старше 70-ти лет он может участвовать в сделке при наличии созаемщиков в возрасте от 21 года до 70 лет;</w:t>
      </w:r>
      <w:r>
        <w:rPr>
          <w:color w:val="auto"/>
          <w:sz w:val="26"/>
          <w:szCs w:val="26"/>
          <w:highlight w:val="none"/>
        </w:rPr>
      </w:r>
      <w:r>
        <w:rPr>
          <w:color w:val="auto"/>
          <w:sz w:val="26"/>
          <w:szCs w:val="26"/>
          <w:highlight w:val="none"/>
        </w:rPr>
      </w:r>
    </w:p>
    <w:p>
      <w:pPr>
        <w:pStyle w:val="752"/>
        <w:numPr>
          <w:ilvl w:val="0"/>
          <w:numId w:val="6"/>
        </w:numPr>
        <w:jc w:val="both"/>
        <w:rPr>
          <w:color w:val="auto"/>
          <w:sz w:val="26"/>
          <w:szCs w:val="26"/>
          <w:highlight w:val="none"/>
        </w:rPr>
      </w:pPr>
      <w:r>
        <w:rPr>
          <w:color w:val="auto"/>
          <w:sz w:val="26"/>
          <w:szCs w:val="26"/>
          <w:highlight w:val="none"/>
        </w:rPr>
      </w:r>
      <w:r>
        <w:rPr>
          <w:color w:val="auto"/>
          <w:sz w:val="26"/>
          <w:szCs w:val="26"/>
        </w:rPr>
        <w:t xml:space="preserve">максимальное количество лиц созаемщиков, доход которых учитывается при расчете суммы кредита составляет  4 человека;</w:t>
      </w:r>
      <w:r>
        <w:rPr>
          <w:color w:val="auto"/>
          <w:sz w:val="26"/>
          <w:szCs w:val="26"/>
          <w:highlight w:val="none"/>
        </w:rPr>
      </w:r>
      <w:r>
        <w:rPr>
          <w:color w:val="auto"/>
          <w:sz w:val="26"/>
          <w:szCs w:val="26"/>
          <w:highlight w:val="none"/>
        </w:rPr>
      </w:r>
    </w:p>
    <w:p>
      <w:pPr>
        <w:pStyle w:val="752"/>
        <w:numPr>
          <w:ilvl w:val="0"/>
          <w:numId w:val="5"/>
        </w:numPr>
        <w:jc w:val="both"/>
        <w:rPr>
          <w:b w:val="0"/>
          <w:bCs w:val="0"/>
          <w:color w:val="auto"/>
          <w:sz w:val="26"/>
          <w:szCs w:val="26"/>
          <w:highlight w:val="none"/>
        </w:rPr>
      </w:pPr>
      <w:r>
        <w:rPr>
          <w:b w:val="0"/>
          <w:bCs w:val="0"/>
          <w:color w:val="auto"/>
          <w:sz w:val="26"/>
          <w:szCs w:val="26"/>
          <w:highlight w:val="none"/>
        </w:rPr>
        <w:t xml:space="preserve">для подтверждения дохода клиент/созаемщик должен быть официально трудоустроен (не менее трех месяцев на последнем месте работы). В качестве документа подтверждающего дох</w:t>
      </w:r>
      <w:r>
        <w:rPr>
          <w:b w:val="0"/>
          <w:bCs w:val="0"/>
          <w:color w:val="auto"/>
          <w:sz w:val="26"/>
          <w:szCs w:val="26"/>
          <w:highlight w:val="none"/>
        </w:rPr>
        <w:t xml:space="preserve">од, Б</w:t>
      </w:r>
      <w:r>
        <w:rPr>
          <w:b w:val="0"/>
          <w:bCs w:val="0"/>
          <w:color w:val="auto"/>
          <w:sz w:val="26"/>
          <w:szCs w:val="26"/>
          <w:highlight w:val="none"/>
        </w:rPr>
        <w:t xml:space="preserve">анк принимает справку по форме 2-НДФЛ, справку по форме Банка, выписку со счета зарплатной карты (в учет не принимается доход, полученный от предпринимательской деятельности и самозанятости);</w:t>
      </w:r>
      <w:r>
        <w:rPr>
          <w:b w:val="0"/>
          <w:bCs w:val="0"/>
          <w:color w:val="auto"/>
          <w:sz w:val="26"/>
          <w:szCs w:val="26"/>
          <w:highlight w:val="none"/>
        </w:rPr>
      </w:r>
      <w:r>
        <w:rPr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752"/>
        <w:numPr>
          <w:ilvl w:val="0"/>
          <w:numId w:val="5"/>
        </w:numPr>
        <w:jc w:val="both"/>
        <w:rPr>
          <w:b w:val="0"/>
          <w:bCs w:val="0"/>
          <w:color w:val="auto"/>
          <w:sz w:val="26"/>
          <w:szCs w:val="26"/>
          <w:highlight w:val="none"/>
        </w:rPr>
      </w:pPr>
      <w:r>
        <w:rPr>
          <w:color w:val="auto"/>
          <w:sz w:val="26"/>
          <w:szCs w:val="26"/>
          <w:highlight w:val="none"/>
        </w:rPr>
        <w:t xml:space="preserve">максимальная сумма кредита по данным программам - 6 млн.руб.;</w:t>
      </w:r>
      <w:r>
        <w:rPr>
          <w:color w:val="auto"/>
          <w:sz w:val="26"/>
          <w:szCs w:val="26"/>
          <w:highlight w:val="none"/>
        </w:rPr>
      </w:r>
    </w:p>
    <w:p>
      <w:pPr>
        <w:pStyle w:val="752"/>
        <w:numPr>
          <w:ilvl w:val="0"/>
          <w:numId w:val="5"/>
        </w:numPr>
        <w:jc w:val="both"/>
        <w:rPr>
          <w:b w:val="0"/>
          <w:bCs w:val="0"/>
          <w:color w:val="auto"/>
          <w:sz w:val="26"/>
          <w:szCs w:val="26"/>
          <w:highlight w:val="none"/>
        </w:rPr>
      </w:pPr>
      <w:r>
        <w:rPr>
          <w:color w:val="auto"/>
          <w:sz w:val="26"/>
          <w:szCs w:val="26"/>
          <w:highlight w:val="none"/>
        </w:rPr>
        <w:t xml:space="preserve">минимальная сумма первоначального взноса составляет 10% от стоимости объекта недвижимости (в качестве первоначального взноса может выступать материнский капитал и/или иная социальная выплата, например выплата по сертификату)</w:t>
      </w:r>
      <w:r>
        <w:rPr>
          <w:color w:val="auto"/>
          <w:sz w:val="26"/>
          <w:szCs w:val="26"/>
          <w:highlight w:val="none"/>
        </w:rPr>
        <w:t xml:space="preserve">;</w:t>
      </w:r>
      <w:r>
        <w:rPr>
          <w:b w:val="0"/>
          <w:bCs w:val="0"/>
          <w:color w:val="auto"/>
          <w:sz w:val="26"/>
          <w:szCs w:val="26"/>
          <w:highlight w:val="none"/>
        </w:rPr>
      </w:r>
      <w:r>
        <w:rPr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752"/>
        <w:numPr>
          <w:ilvl w:val="0"/>
          <w:numId w:val="5"/>
        </w:numPr>
        <w:jc w:val="both"/>
        <w:rPr>
          <w:b w:val="0"/>
          <w:bCs w:val="0"/>
          <w:color w:val="auto"/>
          <w:sz w:val="26"/>
          <w:szCs w:val="26"/>
          <w:highlight w:val="none"/>
        </w:rPr>
      </w:pPr>
      <w:r>
        <w:rPr>
          <w:b w:val="0"/>
          <w:bCs w:val="0"/>
          <w:color w:val="auto"/>
          <w:sz w:val="26"/>
          <w:szCs w:val="26"/>
          <w:highlight w:val="none"/>
        </w:rPr>
        <w:t xml:space="preserve">в случае использования в качестве первоначального взноса выплаты по сертификату, в сделке принимают участие все собственники (сособственники) утраченного жилого помещения;</w:t>
      </w:r>
      <w:r>
        <w:rPr>
          <w:b w:val="0"/>
          <w:bCs w:val="0"/>
          <w:color w:val="auto"/>
          <w:sz w:val="26"/>
          <w:szCs w:val="26"/>
          <w:highlight w:val="none"/>
        </w:rPr>
      </w:r>
      <w:r>
        <w:rPr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752"/>
        <w:numPr>
          <w:ilvl w:val="0"/>
          <w:numId w:val="5"/>
        </w:numPr>
        <w:jc w:val="both"/>
        <w:rPr>
          <w:b w:val="0"/>
          <w:bCs w:val="0"/>
          <w:color w:val="auto"/>
          <w:sz w:val="26"/>
          <w:szCs w:val="26"/>
          <w:highlight w:val="white"/>
        </w:rPr>
      </w:pPr>
      <w:r>
        <w:rPr>
          <w:b w:val="0"/>
          <w:bCs w:val="0"/>
          <w:color w:val="auto"/>
          <w:sz w:val="26"/>
          <w:szCs w:val="26"/>
          <w:highlight w:val="white"/>
        </w:rPr>
        <w:t xml:space="preserve">если сертификат был использован ранее, это не является стоп-фактором для участия в программе. </w:t>
      </w:r>
      <w:r>
        <w:rPr>
          <w:b w:val="0"/>
          <w:bCs w:val="0"/>
          <w:color w:val="auto"/>
          <w:sz w:val="26"/>
          <w:szCs w:val="26"/>
          <w:highlight w:val="white"/>
        </w:rPr>
      </w:r>
      <w:r>
        <w:rPr>
          <w:b w:val="0"/>
          <w:bCs w:val="0"/>
          <w:color w:val="auto"/>
          <w:sz w:val="26"/>
          <w:szCs w:val="26"/>
          <w:highlight w:val="white"/>
        </w:rPr>
      </w:r>
    </w:p>
    <w:p>
      <w:pPr>
        <w:jc w:val="both"/>
        <w:spacing w:before="0" w:beforeAutospacing="0" w:line="283" w:lineRule="exact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jc w:val="both"/>
        <w:spacing w:before="0" w:beforeAutospacing="0" w:line="283" w:lineRule="exact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     </w:t>
      </w:r>
      <w:r>
        <w:rPr>
          <w:b/>
          <w:bCs/>
          <w:color w:val="auto"/>
          <w:sz w:val="26"/>
          <w:szCs w:val="26"/>
          <w:highlight w:val="none"/>
        </w:rPr>
        <w:t xml:space="preserve">Список документов, необходимых для оформления заявки на ипотечный кредит:</w:t>
      </w:r>
      <w:r>
        <w:rPr>
          <w:b/>
          <w:bCs/>
          <w:color w:val="auto"/>
          <w:sz w:val="26"/>
          <w:szCs w:val="26"/>
          <w:highlight w:val="none"/>
        </w:rPr>
      </w:r>
      <w:r/>
    </w:p>
    <w:p>
      <w:pPr>
        <w:pStyle w:val="752"/>
        <w:numPr>
          <w:ilvl w:val="0"/>
          <w:numId w:val="13"/>
        </w:numPr>
        <w:ind w:right="0"/>
        <w:jc w:val="both"/>
        <w:spacing w:before="0" w:beforeAutospacing="0" w:after="0" w:line="283" w:lineRule="exac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Паспорт гражданина РФ;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pStyle w:val="752"/>
        <w:numPr>
          <w:ilvl w:val="0"/>
          <w:numId w:val="13"/>
        </w:numPr>
        <w:ind w:right="0"/>
        <w:jc w:val="both"/>
        <w:spacing w:before="225" w:after="0" w:line="283" w:lineRule="exac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СНИЛС;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pStyle w:val="752"/>
        <w:numPr>
          <w:ilvl w:val="0"/>
          <w:numId w:val="13"/>
        </w:numPr>
        <w:ind w:right="0"/>
        <w:jc w:val="both"/>
        <w:spacing w:before="225" w:after="0" w:line="283" w:lineRule="exac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Документ о семейном положении;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pStyle w:val="752"/>
        <w:numPr>
          <w:ilvl w:val="0"/>
          <w:numId w:val="13"/>
        </w:numPr>
        <w:ind w:right="0"/>
        <w:jc w:val="both"/>
        <w:spacing w:before="225" w:after="0" w:line="283" w:lineRule="exac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Для мужчин до 27 лет необходимо предоставить документ о том, что заемщик не подлежит призыву на военную службу;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pStyle w:val="752"/>
        <w:numPr>
          <w:ilvl w:val="0"/>
          <w:numId w:val="13"/>
        </w:numPr>
        <w:ind w:right="0"/>
        <w:jc w:val="both"/>
        <w:spacing w:before="225" w:after="0" w:line="283" w:lineRule="exac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Документ, подтверждающий трудоустройство: заверенная работодателем копия трудовой книжки или трудового договора по совместительству или выписка из лицевого счета ПФР;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pStyle w:val="752"/>
        <w:numPr>
          <w:ilvl w:val="0"/>
          <w:numId w:val="13"/>
        </w:numPr>
        <w:ind w:right="0"/>
        <w:jc w:val="both"/>
        <w:spacing w:before="0" w:after="0" w:line="283" w:lineRule="exac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Документ, подтверждающий доход: справка по форме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2-НДФЛ или справка по форме банка или выписка со счета зарплатной карты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 в бумажном или электронном виде.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ind w:left="709" w:right="0" w:firstLine="0"/>
        <w:jc w:val="both"/>
        <w:spacing w:before="0" w:after="0" w:line="283" w:lineRule="exac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ind w:left="0" w:firstLine="708"/>
        <w:jc w:val="both"/>
        <w:rPr>
          <w:b w:val="0"/>
          <w:bCs w:val="0"/>
          <w:color w:val="auto"/>
          <w:sz w:val="26"/>
          <w:szCs w:val="26"/>
          <w:highlight w:val="white"/>
        </w:rPr>
      </w:pPr>
      <w:r>
        <w:rPr>
          <w:b w:val="0"/>
          <w:bCs w:val="0"/>
          <w:color w:val="auto"/>
          <w:sz w:val="26"/>
          <w:szCs w:val="26"/>
          <w:highlight w:val="white"/>
        </w:rPr>
        <w:t xml:space="preserve">С 28.03.2025 года для военнослуж</w:t>
      </w:r>
      <w:r>
        <w:rPr>
          <w:b w:val="0"/>
          <w:bCs w:val="0"/>
          <w:color w:val="auto"/>
          <w:sz w:val="26"/>
          <w:szCs w:val="26"/>
          <w:highlight w:val="white"/>
        </w:rPr>
        <w:t xml:space="preserve">ащих (участников НИС) стала доступна программа «Госпрограмма. Военная ипотека.Новые Субъекты 2%», в рамках которой можно приобрести квартиру на первичном рынке недвижимости.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white"/>
        </w:rPr>
      </w:r>
      <w:r>
        <w:rPr>
          <w:b w:val="0"/>
          <w:bCs w:val="0"/>
          <w:color w:val="auto"/>
          <w:sz w:val="26"/>
          <w:szCs w:val="26"/>
          <w:highlight w:val="white"/>
        </w:rPr>
      </w:r>
    </w:p>
    <w:sectPr>
      <w:headerReference w:type="default" r:id="rId9"/>
      <w:footerReference w:type="default" r:id="rId10"/>
      <w:footnotePr/>
      <w:endnotePr/>
      <w:type w:val="continuous"/>
      <w:pgSz w:w="11906" w:h="16838" w:orient="portrait"/>
      <w:pgMar w:top="425" w:right="707" w:bottom="822" w:left="1134" w:header="708" w:footer="46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94067839"/>
      <w:docPartObj>
        <w:docPartGallery w:val="Page Numbers (Top of Page)"/>
        <w:docPartUnique w:val="true"/>
      </w:docPartObj>
      <w:rPr>
        <w:sz w:val="28"/>
        <w:szCs w:val="28"/>
      </w:rPr>
    </w:sdtPr>
    <w:sdtContent>
      <w:p>
        <w:pPr>
          <w:pStyle w:val="91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Heading 1 Char"/>
    <w:basedOn w:val="740"/>
    <w:link w:val="731"/>
    <w:uiPriority w:val="9"/>
    <w:rPr>
      <w:rFonts w:ascii="Arial" w:hAnsi="Arial" w:eastAsia="Arial" w:cs="Arial"/>
      <w:sz w:val="40"/>
      <w:szCs w:val="40"/>
    </w:rPr>
  </w:style>
  <w:style w:type="character" w:styleId="715">
    <w:name w:val="Heading 2 Char"/>
    <w:basedOn w:val="740"/>
    <w:link w:val="732"/>
    <w:uiPriority w:val="9"/>
    <w:rPr>
      <w:rFonts w:ascii="Arial" w:hAnsi="Arial" w:eastAsia="Arial" w:cs="Arial"/>
      <w:sz w:val="34"/>
    </w:rPr>
  </w:style>
  <w:style w:type="character" w:styleId="716">
    <w:name w:val="Heading 3 Char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17">
    <w:name w:val="Heading 4 Char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18">
    <w:name w:val="Heading 5 Char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19">
    <w:name w:val="Heading 6 Char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20">
    <w:name w:val="Heading 7 Char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8 Char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22">
    <w:name w:val="Heading 9 Char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23">
    <w:name w:val="Title Char"/>
    <w:basedOn w:val="740"/>
    <w:link w:val="754"/>
    <w:uiPriority w:val="10"/>
    <w:rPr>
      <w:sz w:val="48"/>
      <w:szCs w:val="48"/>
    </w:rPr>
  </w:style>
  <w:style w:type="character" w:styleId="724">
    <w:name w:val="Subtitle Char"/>
    <w:basedOn w:val="740"/>
    <w:link w:val="756"/>
    <w:uiPriority w:val="11"/>
    <w:rPr>
      <w:sz w:val="24"/>
      <w:szCs w:val="24"/>
    </w:rPr>
  </w:style>
  <w:style w:type="character" w:styleId="725">
    <w:name w:val="Quote Char"/>
    <w:link w:val="758"/>
    <w:uiPriority w:val="29"/>
    <w:rPr>
      <w:i/>
    </w:rPr>
  </w:style>
  <w:style w:type="character" w:styleId="726">
    <w:name w:val="Intense Quote Char"/>
    <w:link w:val="760"/>
    <w:uiPriority w:val="30"/>
    <w:rPr>
      <w:i/>
    </w:rPr>
  </w:style>
  <w:style w:type="character" w:styleId="727">
    <w:name w:val="Caption Char"/>
    <w:basedOn w:val="764"/>
    <w:link w:val="912"/>
    <w:uiPriority w:val="99"/>
  </w:style>
  <w:style w:type="character" w:styleId="728">
    <w:name w:val="Footnote Text Char"/>
    <w:link w:val="892"/>
    <w:uiPriority w:val="99"/>
    <w:rPr>
      <w:sz w:val="18"/>
    </w:rPr>
  </w:style>
  <w:style w:type="character" w:styleId="729">
    <w:name w:val="Endnote Text Char"/>
    <w:link w:val="895"/>
    <w:uiPriority w:val="99"/>
    <w:rPr>
      <w:sz w:val="20"/>
    </w:rPr>
  </w:style>
  <w:style w:type="paragraph" w:styleId="730" w:default="1">
    <w:name w:val="Normal"/>
    <w:qFormat/>
    <w:rPr>
      <w:sz w:val="24"/>
      <w:szCs w:val="24"/>
    </w:rPr>
  </w:style>
  <w:style w:type="paragraph" w:styleId="731">
    <w:name w:val="Heading 1"/>
    <w:basedOn w:val="730"/>
    <w:next w:val="730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730"/>
    <w:next w:val="730"/>
    <w:link w:val="7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3">
    <w:name w:val="Heading 3"/>
    <w:basedOn w:val="730"/>
    <w:next w:val="730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6">
    <w:name w:val="Heading 6"/>
    <w:basedOn w:val="730"/>
    <w:next w:val="730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Заголовок 1 Знак"/>
    <w:basedOn w:val="740"/>
    <w:link w:val="731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basedOn w:val="740"/>
    <w:link w:val="732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730"/>
    <w:uiPriority w:val="34"/>
    <w:qFormat/>
    <w:pPr>
      <w:contextualSpacing/>
      <w:ind w:left="720"/>
    </w:pPr>
  </w:style>
  <w:style w:type="paragraph" w:styleId="753">
    <w:name w:val="No Spacing"/>
    <w:uiPriority w:val="1"/>
    <w:qFormat/>
  </w:style>
  <w:style w:type="paragraph" w:styleId="754">
    <w:name w:val="Title"/>
    <w:basedOn w:val="730"/>
    <w:next w:val="730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 w:customStyle="1">
    <w:name w:val="Заголовок Знак"/>
    <w:basedOn w:val="740"/>
    <w:link w:val="754"/>
    <w:uiPriority w:val="10"/>
    <w:rPr>
      <w:sz w:val="48"/>
      <w:szCs w:val="48"/>
    </w:rPr>
  </w:style>
  <w:style w:type="paragraph" w:styleId="756">
    <w:name w:val="Subtitle"/>
    <w:basedOn w:val="730"/>
    <w:next w:val="730"/>
    <w:link w:val="757"/>
    <w:uiPriority w:val="11"/>
    <w:qFormat/>
    <w:pPr>
      <w:spacing w:before="200" w:after="200"/>
    </w:pPr>
  </w:style>
  <w:style w:type="character" w:styleId="757" w:customStyle="1">
    <w:name w:val="Подзаголовок Знак"/>
    <w:basedOn w:val="740"/>
    <w:link w:val="756"/>
    <w:uiPriority w:val="11"/>
    <w:rPr>
      <w:sz w:val="24"/>
      <w:szCs w:val="24"/>
    </w:rPr>
  </w:style>
  <w:style w:type="paragraph" w:styleId="758">
    <w:name w:val="Quote"/>
    <w:basedOn w:val="730"/>
    <w:next w:val="730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30"/>
    <w:next w:val="730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character" w:styleId="762" w:customStyle="1">
    <w:name w:val="Header Char"/>
    <w:basedOn w:val="740"/>
    <w:uiPriority w:val="99"/>
  </w:style>
  <w:style w:type="character" w:styleId="763" w:customStyle="1">
    <w:name w:val="Footer Char"/>
    <w:basedOn w:val="740"/>
    <w:uiPriority w:val="99"/>
  </w:style>
  <w:style w:type="paragraph" w:styleId="764">
    <w:name w:val="Caption"/>
    <w:basedOn w:val="730"/>
    <w:next w:val="730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 w:customStyle="1">
    <w:name w:val="Нижний колонтитул Знак"/>
    <w:link w:val="912"/>
    <w:uiPriority w:val="99"/>
  </w:style>
  <w:style w:type="table" w:styleId="766" w:customStyle="1">
    <w:name w:val="Table Grid Light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7">
    <w:name w:val="Plain Table 1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basedOn w:val="74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basedOn w:val="74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basedOn w:val="74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basedOn w:val="74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basedOn w:val="74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basedOn w:val="74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basedOn w:val="74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basedOn w:val="74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basedOn w:val="74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basedOn w:val="74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basedOn w:val="74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basedOn w:val="74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basedOn w:val="74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basedOn w:val="74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basedOn w:val="74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basedOn w:val="74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basedOn w:val="74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basedOn w:val="74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basedOn w:val="74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basedOn w:val="74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basedOn w:val="7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basedOn w:val="74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5" w:customStyle="1">
    <w:name w:val="Grid Table 4 - Accent 2"/>
    <w:basedOn w:val="74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6" w:customStyle="1">
    <w:name w:val="Grid Table 4 - Accent 3"/>
    <w:basedOn w:val="74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7" w:customStyle="1">
    <w:name w:val="Grid Table 4 - Accent 4"/>
    <w:basedOn w:val="74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8" w:customStyle="1">
    <w:name w:val="Grid Table 4 - Accent 5"/>
    <w:basedOn w:val="74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9" w:customStyle="1">
    <w:name w:val="Grid Table 4 - Accent 6"/>
    <w:basedOn w:val="74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0">
    <w:name w:val="Grid Table 5 Dark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7">
    <w:name w:val="Grid Table 6 Colorful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basedOn w:val="74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9" w:customStyle="1">
    <w:name w:val="Grid Table 6 Colorful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0" w:customStyle="1">
    <w:name w:val="Grid Table 6 Colorful - Accent 3"/>
    <w:basedOn w:val="74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1" w:customStyle="1">
    <w:name w:val="Grid Table 6 Colorful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2" w:customStyle="1">
    <w:name w:val="Grid Table 6 Colorful - Accent 5"/>
    <w:basedOn w:val="74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6 Colorful - Accent 6"/>
    <w:basedOn w:val="74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>
    <w:name w:val="Grid Table 7 Colorful"/>
    <w:basedOn w:val="74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1"/>
    <w:basedOn w:val="74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2"/>
    <w:basedOn w:val="74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3"/>
    <w:basedOn w:val="74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4"/>
    <w:basedOn w:val="74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5"/>
    <w:basedOn w:val="74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6"/>
    <w:basedOn w:val="74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basedOn w:val="74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basedOn w:val="74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basedOn w:val="74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basedOn w:val="74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basedOn w:val="74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basedOn w:val="74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basedOn w:val="74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basedOn w:val="74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basedOn w:val="74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basedOn w:val="74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basedOn w:val="74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basedOn w:val="74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basedOn w:val="74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basedOn w:val="74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basedOn w:val="74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basedOn w:val="74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basedOn w:val="74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basedOn w:val="74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basedOn w:val="74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basedOn w:val="74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basedOn w:val="74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basedOn w:val="74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basedOn w:val="74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basedOn w:val="74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basedOn w:val="74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basedOn w:val="74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basedOn w:val="74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basedOn w:val="74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basedOn w:val="74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>
    <w:name w:val="List Table 6 Colorful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basedOn w:val="74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8" w:customStyle="1">
    <w:name w:val="List Table 6 Colorful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9" w:customStyle="1">
    <w:name w:val="List Table 6 Colorful - Accent 3"/>
    <w:basedOn w:val="74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0" w:customStyle="1">
    <w:name w:val="List Table 6 Colorful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1" w:customStyle="1">
    <w:name w:val="List Table 6 Colorful - Accent 5"/>
    <w:basedOn w:val="74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2" w:customStyle="1">
    <w:name w:val="List Table 6 Colorful - Accent 6"/>
    <w:basedOn w:val="74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3">
    <w:name w:val="List Table 7 Colorful"/>
    <w:basedOn w:val="74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1"/>
    <w:basedOn w:val="74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2"/>
    <w:basedOn w:val="74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3"/>
    <w:basedOn w:val="74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4"/>
    <w:basedOn w:val="74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5"/>
    <w:basedOn w:val="74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6"/>
    <w:basedOn w:val="74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ned - Accent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Lined - Accent 2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Lined - Accent 3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Lined - Accent 4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Lined - Accent 5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Lined - Accent 6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 &amp; Lined - Accent"/>
    <w:basedOn w:val="74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basedOn w:val="74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Bordered &amp; Lined - Accent 2"/>
    <w:basedOn w:val="74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Bordered &amp; Lined - Accent 3"/>
    <w:basedOn w:val="74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Bordered &amp; Lined - Accent 4"/>
    <w:basedOn w:val="74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Bordered &amp; Lined - Accent 5"/>
    <w:basedOn w:val="74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Bordered &amp; Lined - Accent 6"/>
    <w:basedOn w:val="74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"/>
    <w:basedOn w:val="74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basedOn w:val="74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6" w:customStyle="1">
    <w:name w:val="Bordered - Accent 2"/>
    <w:basedOn w:val="74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7" w:customStyle="1">
    <w:name w:val="Bordered - Accent 3"/>
    <w:basedOn w:val="74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8" w:customStyle="1">
    <w:name w:val="Bordered - Accent 4"/>
    <w:basedOn w:val="74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9" w:customStyle="1">
    <w:name w:val="Bordered - Accent 5"/>
    <w:basedOn w:val="74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0" w:customStyle="1">
    <w:name w:val="Bordered - Accent 6"/>
    <w:basedOn w:val="74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730"/>
    <w:link w:val="893"/>
    <w:uiPriority w:val="99"/>
    <w:semiHidden/>
    <w:unhideWhenUsed/>
    <w:pPr>
      <w:spacing w:after="40"/>
    </w:pPr>
    <w:rPr>
      <w:sz w:val="18"/>
    </w:rPr>
  </w:style>
  <w:style w:type="character" w:styleId="893" w:customStyle="1">
    <w:name w:val="Текст сноски Знак"/>
    <w:link w:val="892"/>
    <w:uiPriority w:val="99"/>
    <w:rPr>
      <w:sz w:val="18"/>
    </w:rPr>
  </w:style>
  <w:style w:type="character" w:styleId="894">
    <w:name w:val="footnote reference"/>
    <w:basedOn w:val="740"/>
    <w:uiPriority w:val="99"/>
    <w:unhideWhenUsed/>
    <w:rPr>
      <w:vertAlign w:val="superscript"/>
    </w:rPr>
  </w:style>
  <w:style w:type="paragraph" w:styleId="895">
    <w:name w:val="endnote text"/>
    <w:basedOn w:val="730"/>
    <w:link w:val="896"/>
    <w:uiPriority w:val="99"/>
    <w:semiHidden/>
    <w:unhideWhenUsed/>
    <w:rPr>
      <w:sz w:val="20"/>
    </w:rPr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basedOn w:val="740"/>
    <w:uiPriority w:val="99"/>
    <w:semiHidden/>
    <w:unhideWhenUsed/>
    <w:rPr>
      <w:vertAlign w:val="superscript"/>
    </w:rPr>
  </w:style>
  <w:style w:type="paragraph" w:styleId="898">
    <w:name w:val="toc 1"/>
    <w:basedOn w:val="730"/>
    <w:next w:val="730"/>
    <w:uiPriority w:val="39"/>
    <w:unhideWhenUsed/>
    <w:pPr>
      <w:spacing w:after="57"/>
    </w:pPr>
  </w:style>
  <w:style w:type="paragraph" w:styleId="899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900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901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02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03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04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05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06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30"/>
    <w:next w:val="730"/>
    <w:uiPriority w:val="99"/>
    <w:unhideWhenUsed/>
  </w:style>
  <w:style w:type="table" w:styleId="909">
    <w:name w:val="Table Grid"/>
    <w:basedOn w:val="74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0">
    <w:name w:val="Balloon Text"/>
    <w:basedOn w:val="730"/>
    <w:semiHidden/>
    <w:rPr>
      <w:rFonts w:ascii="Tahoma" w:hAnsi="Tahoma" w:cs="Tahoma"/>
      <w:sz w:val="16"/>
      <w:szCs w:val="16"/>
    </w:rPr>
  </w:style>
  <w:style w:type="paragraph" w:styleId="911">
    <w:name w:val="Header"/>
    <w:basedOn w:val="730"/>
    <w:link w:val="913"/>
    <w:uiPriority w:val="99"/>
    <w:pPr>
      <w:tabs>
        <w:tab w:val="center" w:pos="4677" w:leader="none"/>
        <w:tab w:val="right" w:pos="9355" w:leader="none"/>
      </w:tabs>
    </w:pPr>
  </w:style>
  <w:style w:type="paragraph" w:styleId="912">
    <w:name w:val="Footer"/>
    <w:basedOn w:val="730"/>
    <w:link w:val="765"/>
    <w:uiPriority w:val="99"/>
    <w:pPr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740"/>
    <w:link w:val="911"/>
    <w:uiPriority w:val="99"/>
    <w:rPr>
      <w:sz w:val="24"/>
      <w:szCs w:val="24"/>
    </w:rPr>
  </w:style>
  <w:style w:type="paragraph" w:styleId="914" w:customStyle="1">
    <w:name w:val="ФРАДКОВ"/>
    <w:basedOn w:val="730"/>
    <w:qFormat/>
    <w:pPr>
      <w:ind w:firstLine="708"/>
      <w:jc w:val="both"/>
    </w:pPr>
    <w:rPr>
      <w:rFonts w:eastAsiaTheme="minorHAnsi"/>
      <w:sz w:val="28"/>
      <w:szCs w:val="28"/>
      <w:lang w:eastAsia="en-US"/>
    </w:rPr>
  </w:style>
  <w:style w:type="paragraph" w:styleId="915" w:customStyle="1">
    <w:name w:val="CPNormalLeft"/>
    <w:basedOn w:val="730"/>
    <w:pPr>
      <w:jc w:val="both"/>
      <w:spacing w:after="240"/>
      <w:widowControl w:val="off"/>
    </w:pPr>
    <w:rPr>
      <w:sz w:val="22"/>
      <w:szCs w:val="20"/>
    </w:rPr>
  </w:style>
  <w:style w:type="paragraph" w:styleId="916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81468D9-F264-4A29-87BC-665C22AEC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stifeevaa</cp:lastModifiedBy>
  <cp:revision>39</cp:revision>
  <dcterms:created xsi:type="dcterms:W3CDTF">2022-03-31T13:04:00Z</dcterms:created>
  <dcterms:modified xsi:type="dcterms:W3CDTF">2025-04-03T09:31:41Z</dcterms:modified>
</cp:coreProperties>
</file>