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8" w:left="0"/>
        <w:jc w:val="both"/>
        <w:rPr>
          <w:sz w:val="28"/>
        </w:rPr>
      </w:pPr>
      <w:r>
        <w:rPr>
          <w:sz w:val="28"/>
        </w:rPr>
        <w:t xml:space="preserve">                                                        </w:t>
      </w:r>
    </w:p>
    <w:p w14:paraId="03000000">
      <w:pPr>
        <w:ind w:firstLine="78" w:left="0"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04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3591559</wp:posOffset>
                </wp:positionH>
                <wp:positionV relativeFrom="paragraph">
                  <wp:posOffset>0</wp:posOffset>
                </wp:positionV>
                <wp:extent cx="2525395" cy="121602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525395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000000">
                            <w:pPr>
                              <w:pStyle w:val="Style_4"/>
                              <w:ind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 xml:space="preserve">к приказу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Министерства финансов и бюджетного контроля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 xml:space="preserve"> </w:t>
                            </w:r>
                          </w:p>
                          <w:p w14:paraId="06000000">
                            <w:pPr>
                              <w:pStyle w:val="Style_4"/>
                              <w:ind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Ку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 xml:space="preserve">ской области </w:t>
                            </w:r>
                          </w:p>
                          <w:p w14:paraId="07000000">
                            <w:pPr>
                              <w:pStyle w:val="Style_4"/>
                              <w:ind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от 20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.10.2025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 xml:space="preserve"> № 114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</w:p>
    <w:p w14:paraId="09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</w:p>
    <w:p w14:paraId="0A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</w:p>
    <w:p w14:paraId="0B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</w:p>
    <w:p w14:paraId="0C000000">
      <w:pPr>
        <w:ind w:right="8"/>
        <w:jc w:val="center"/>
        <w:rPr>
          <w:b w:val="1"/>
          <w:caps w:val="1"/>
          <w:sz w:val="28"/>
        </w:rPr>
      </w:pPr>
    </w:p>
    <w:p w14:paraId="0D000000">
      <w:pPr>
        <w:ind w:right="8"/>
        <w:jc w:val="center"/>
        <w:rPr>
          <w:b w:val="1"/>
          <w:caps w:val="1"/>
          <w:sz w:val="28"/>
        </w:rPr>
      </w:pPr>
    </w:p>
    <w:p w14:paraId="0E000000">
      <w:pPr>
        <w:ind w:right="8"/>
        <w:jc w:val="center"/>
        <w:rPr>
          <w:b w:val="1"/>
          <w:caps w:val="1"/>
          <w:sz w:val="28"/>
        </w:rPr>
      </w:pPr>
      <w:r>
        <w:rPr>
          <w:b w:val="1"/>
          <w:caps w:val="1"/>
          <w:sz w:val="28"/>
        </w:rPr>
        <w:t>методика</w:t>
      </w:r>
    </w:p>
    <w:p w14:paraId="0F000000">
      <w:pPr>
        <w:ind w:right="8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планирования бюджетных ассигнований областного бюджета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</w:t>
      </w:r>
      <w:r>
        <w:rPr>
          <w:b w:val="1"/>
          <w:sz w:val="28"/>
        </w:rPr>
        <w:t xml:space="preserve"> и на плановый период 20</w:t>
      </w:r>
      <w:r>
        <w:rPr>
          <w:b w:val="1"/>
          <w:sz w:val="28"/>
        </w:rPr>
        <w:t>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и 20</w:t>
      </w:r>
      <w:r>
        <w:rPr>
          <w:b w:val="1"/>
          <w:sz w:val="28"/>
        </w:rPr>
        <w:t>28</w:t>
      </w:r>
      <w:r>
        <w:rPr>
          <w:b w:val="1"/>
          <w:sz w:val="28"/>
        </w:rPr>
        <w:t xml:space="preserve"> годов</w:t>
      </w:r>
    </w:p>
    <w:p w14:paraId="11000000">
      <w:pPr>
        <w:pStyle w:val="Style_3"/>
        <w:ind w:firstLine="684" w:left="0"/>
        <w:jc w:val="both"/>
        <w:rPr>
          <w:rFonts w:ascii="Times New Roman" w:hAnsi="Times New Roman"/>
        </w:rPr>
      </w:pP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основу прогноза расходов </w:t>
      </w:r>
      <w:r>
        <w:rPr>
          <w:sz w:val="28"/>
        </w:rPr>
        <w:t>областного</w:t>
      </w:r>
      <w:r>
        <w:rPr>
          <w:sz w:val="28"/>
        </w:rPr>
        <w:t xml:space="preserve"> бюджета положены Федеральные законы от 31</w:t>
      </w:r>
      <w:r>
        <w:rPr>
          <w:sz w:val="28"/>
        </w:rPr>
        <w:t>.07.</w:t>
      </w:r>
      <w:r>
        <w:rPr>
          <w:sz w:val="28"/>
        </w:rPr>
        <w:t>1998 № 145-ФЗ «Бюджетный кодекс Ро</w:t>
      </w:r>
      <w:r>
        <w:rPr>
          <w:sz w:val="28"/>
        </w:rPr>
        <w:t>с</w:t>
      </w:r>
      <w:r>
        <w:rPr>
          <w:sz w:val="28"/>
        </w:rPr>
        <w:t xml:space="preserve">сийской Федерации» (с учетом изменений и дополнений), </w:t>
      </w:r>
      <w:r>
        <w:rPr>
          <w:sz w:val="28"/>
        </w:rPr>
        <w:t xml:space="preserve">от 21.12.2021 № 414-ФЗ «Об общих принципах организации публичной власти </w:t>
      </w:r>
      <w:r>
        <w:rPr>
          <w:sz w:val="28"/>
        </w:rPr>
        <w:br/>
      </w:r>
      <w:r>
        <w:rPr>
          <w:sz w:val="28"/>
        </w:rPr>
        <w:t>в субъектах Российской Федерации» (с учетом изменений и дополнений),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0</w:t>
      </w:r>
      <w:r>
        <w:rPr>
          <w:sz w:val="28"/>
        </w:rPr>
        <w:t>6</w:t>
      </w:r>
      <w:r>
        <w:rPr>
          <w:sz w:val="28"/>
        </w:rPr>
        <w:t>.10.</w:t>
      </w:r>
      <w:r>
        <w:rPr>
          <w:sz w:val="28"/>
        </w:rPr>
        <w:t>2003 № 131-ФЗ «Об общих принципах организации м</w:t>
      </w:r>
      <w:r>
        <w:rPr>
          <w:sz w:val="28"/>
        </w:rPr>
        <w:t>е</w:t>
      </w:r>
      <w:r>
        <w:rPr>
          <w:sz w:val="28"/>
        </w:rPr>
        <w:t>стного самоуправления в Российской</w:t>
      </w:r>
      <w:r>
        <w:rPr>
          <w:sz w:val="28"/>
        </w:rPr>
        <w:t xml:space="preserve"> Федерации» (с учетом изменений </w:t>
      </w:r>
      <w:r>
        <w:rPr>
          <w:sz w:val="28"/>
        </w:rPr>
        <w:br/>
      </w:r>
      <w:r>
        <w:rPr>
          <w:sz w:val="28"/>
        </w:rPr>
        <w:t xml:space="preserve">и дополнений), </w:t>
      </w:r>
      <w:r>
        <w:rPr>
          <w:sz w:val="28"/>
        </w:rPr>
        <w:t>Федеральный закон от 20.03.2025 № 33-ФЗ</w:t>
      </w:r>
      <w:r>
        <w:rPr>
          <w:sz w:val="28"/>
        </w:rPr>
        <w:t xml:space="preserve"> </w:t>
      </w:r>
      <w:r>
        <w:rPr>
          <w:sz w:val="28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, </w:t>
      </w:r>
      <w:r>
        <w:rPr>
          <w:sz w:val="28"/>
        </w:rPr>
        <w:t xml:space="preserve">Послание Президента Российской Федерации </w:t>
      </w:r>
      <w:r>
        <w:rPr>
          <w:sz w:val="28"/>
        </w:rPr>
        <w:t>Федеральн</w:t>
      </w:r>
      <w:r>
        <w:rPr>
          <w:sz w:val="28"/>
        </w:rPr>
        <w:t>о</w:t>
      </w:r>
      <w:r>
        <w:rPr>
          <w:sz w:val="28"/>
        </w:rPr>
        <w:t>му Собранию Российской Федерации</w:t>
      </w:r>
      <w:r>
        <w:rPr>
          <w:sz w:val="28"/>
        </w:rPr>
        <w:t xml:space="preserve">, </w:t>
      </w:r>
      <w:r>
        <w:rPr>
          <w:sz w:val="28"/>
        </w:rPr>
        <w:t>приказ</w:t>
      </w:r>
      <w:r>
        <w:rPr>
          <w:sz w:val="28"/>
        </w:rPr>
        <w:t>ы</w:t>
      </w:r>
      <w:r>
        <w:rPr>
          <w:sz w:val="28"/>
        </w:rPr>
        <w:t xml:space="preserve"> Министерства финансов Ро</w:t>
      </w:r>
      <w:r>
        <w:rPr>
          <w:sz w:val="28"/>
        </w:rPr>
        <w:t>с</w:t>
      </w:r>
      <w:r>
        <w:rPr>
          <w:sz w:val="28"/>
        </w:rPr>
        <w:t xml:space="preserve">сийской Федерации </w:t>
      </w:r>
      <w:r>
        <w:rPr>
          <w:sz w:val="28"/>
        </w:rPr>
        <w:t xml:space="preserve">от 24.05.2022 № 82н «О Порядке формирования и </w:t>
      </w:r>
      <w:r>
        <w:rPr>
          <w:sz w:val="28"/>
        </w:rPr>
        <w:t>применения кодов бюджетной классификации Российской Федерации, их структуре и принципах назначения»</w:t>
      </w:r>
      <w:r>
        <w:rPr>
          <w:sz w:val="28"/>
        </w:rPr>
        <w:t>, от 1</w:t>
      </w:r>
      <w:r>
        <w:rPr>
          <w:sz w:val="28"/>
        </w:rPr>
        <w:t>0</w:t>
      </w:r>
      <w:r>
        <w:rPr>
          <w:sz w:val="28"/>
        </w:rPr>
        <w:t>.0</w:t>
      </w:r>
      <w:r>
        <w:rPr>
          <w:sz w:val="28"/>
        </w:rPr>
        <w:t>6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 xml:space="preserve"> № </w:t>
      </w:r>
      <w:r>
        <w:rPr>
          <w:sz w:val="28"/>
        </w:rPr>
        <w:t>70</w:t>
      </w:r>
      <w:r>
        <w:rPr>
          <w:sz w:val="28"/>
        </w:rPr>
        <w:t xml:space="preserve">н «Об </w:t>
      </w:r>
      <w:r>
        <w:rPr>
          <w:sz w:val="28"/>
        </w:rPr>
        <w:t>у</w:t>
      </w:r>
      <w:r>
        <w:rPr>
          <w:sz w:val="28"/>
        </w:rPr>
        <w:t>тверждении кодов (перечней к</w:t>
      </w:r>
      <w:r>
        <w:rPr>
          <w:sz w:val="28"/>
        </w:rPr>
        <w:t>о</w:t>
      </w:r>
      <w:r>
        <w:rPr>
          <w:sz w:val="28"/>
        </w:rPr>
        <w:t xml:space="preserve">дов) бюджетной классификации Российской Федерации на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 (на 202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годов)»</w:t>
      </w:r>
      <w:r>
        <w:rPr>
          <w:sz w:val="28"/>
        </w:rPr>
        <w:t xml:space="preserve">, </w:t>
      </w:r>
      <w:r>
        <w:rPr>
          <w:sz w:val="28"/>
        </w:rPr>
        <w:t>Основные направления бюджетной и налоговой политики Ку</w:t>
      </w:r>
      <w:r>
        <w:rPr>
          <w:sz w:val="28"/>
        </w:rPr>
        <w:t>р</w:t>
      </w:r>
      <w:r>
        <w:rPr>
          <w:sz w:val="28"/>
        </w:rPr>
        <w:t xml:space="preserve">ской области на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годов, </w:t>
      </w:r>
      <w:r>
        <w:rPr>
          <w:sz w:val="28"/>
        </w:rPr>
        <w:t>утвержденн</w:t>
      </w:r>
      <w:r>
        <w:rPr>
          <w:sz w:val="28"/>
        </w:rPr>
        <w:t>ы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 xml:space="preserve">распоряжением Правительства Курской области от </w:t>
      </w:r>
      <w:r>
        <w:rPr>
          <w:sz w:val="28"/>
        </w:rPr>
        <w:t>22</w:t>
      </w:r>
      <w:r>
        <w:rPr>
          <w:sz w:val="28"/>
        </w:rPr>
        <w:t>.</w:t>
      </w:r>
      <w:r>
        <w:rPr>
          <w:sz w:val="28"/>
        </w:rPr>
        <w:t>09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764</w:t>
      </w:r>
      <w:r>
        <w:rPr>
          <w:sz w:val="28"/>
        </w:rPr>
        <w:t>-рп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а также </w:t>
      </w:r>
      <w:r>
        <w:rPr>
          <w:sz w:val="28"/>
        </w:rPr>
        <w:t>проект фед</w:t>
      </w:r>
      <w:r>
        <w:rPr>
          <w:sz w:val="28"/>
        </w:rPr>
        <w:t>е</w:t>
      </w:r>
      <w:r>
        <w:rPr>
          <w:sz w:val="28"/>
        </w:rPr>
        <w:t>рального закона «О федеральном бюджете на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</w:t>
      </w:r>
      <w:r>
        <w:rPr>
          <w:sz w:val="28"/>
        </w:rPr>
        <w:t xml:space="preserve"> период 20</w:t>
      </w:r>
      <w:r>
        <w:rPr>
          <w:sz w:val="28"/>
        </w:rPr>
        <w:t>2</w:t>
      </w:r>
      <w:r>
        <w:rPr>
          <w:sz w:val="28"/>
        </w:rPr>
        <w:t>7</w:t>
      </w:r>
      <w:r>
        <w:rPr>
          <w:sz w:val="28"/>
        </w:rPr>
        <w:t xml:space="preserve"> и 20</w:t>
      </w:r>
      <w:r>
        <w:rPr>
          <w:sz w:val="28"/>
        </w:rPr>
        <w:t>2</w:t>
      </w:r>
      <w:r>
        <w:rPr>
          <w:sz w:val="28"/>
        </w:rPr>
        <w:t>8</w:t>
      </w:r>
      <w:r>
        <w:rPr>
          <w:sz w:val="28"/>
        </w:rPr>
        <w:t xml:space="preserve"> г</w:t>
      </w:r>
      <w:r>
        <w:rPr>
          <w:sz w:val="28"/>
        </w:rPr>
        <w:t>о</w:t>
      </w:r>
      <w:r>
        <w:rPr>
          <w:sz w:val="28"/>
        </w:rPr>
        <w:t>дов</w:t>
      </w:r>
      <w:r>
        <w:rPr>
          <w:sz w:val="28"/>
        </w:rPr>
        <w:t>»</w:t>
      </w:r>
      <w:r>
        <w:rPr>
          <w:sz w:val="28"/>
        </w:rPr>
        <w:t>.</w:t>
      </w:r>
    </w:p>
    <w:p w14:paraId="13000000">
      <w:pPr>
        <w:pStyle w:val="Style_5"/>
        <w:ind w:firstLine="709" w:left="0"/>
        <w:rPr>
          <w:sz w:val="20"/>
        </w:rPr>
      </w:pPr>
    </w:p>
    <w:p w14:paraId="14000000">
      <w:pPr>
        <w:pStyle w:val="Style_5"/>
        <w:ind w:firstLine="0" w:left="0"/>
        <w:jc w:val="center"/>
        <w:rPr>
          <w:b w:val="1"/>
        </w:rPr>
      </w:pPr>
      <w:r>
        <w:rPr>
          <w:b w:val="1"/>
        </w:rPr>
        <w:t>I</w:t>
      </w:r>
      <w:r>
        <w:rPr>
          <w:b w:val="1"/>
        </w:rPr>
        <w:t>. Общие подходы к п</w:t>
      </w:r>
      <w:r>
        <w:rPr>
          <w:b w:val="1"/>
        </w:rPr>
        <w:t>ланировани</w:t>
      </w:r>
      <w:r>
        <w:rPr>
          <w:b w:val="1"/>
        </w:rPr>
        <w:t>ю</w:t>
      </w:r>
      <w:r>
        <w:rPr>
          <w:b w:val="1"/>
        </w:rPr>
        <w:t xml:space="preserve"> </w:t>
      </w:r>
      <w:r>
        <w:rPr>
          <w:b w:val="1"/>
        </w:rPr>
        <w:t>бюджетных ассигнований</w:t>
      </w:r>
      <w:r>
        <w:rPr>
          <w:b w:val="1"/>
        </w:rPr>
        <w:t xml:space="preserve"> </w:t>
      </w:r>
    </w:p>
    <w:p w14:paraId="15000000">
      <w:pPr>
        <w:pStyle w:val="Style_5"/>
        <w:ind w:firstLine="0" w:left="0"/>
        <w:jc w:val="center"/>
        <w:rPr>
          <w:b w:val="1"/>
        </w:rPr>
      </w:pPr>
      <w:r>
        <w:rPr>
          <w:b w:val="1"/>
        </w:rPr>
        <w:t>областного бюджета на 20</w:t>
      </w:r>
      <w:r>
        <w:rPr>
          <w:b w:val="1"/>
        </w:rPr>
        <w:t>2</w:t>
      </w:r>
      <w:r>
        <w:rPr>
          <w:b w:val="1"/>
        </w:rPr>
        <w:t>6</w:t>
      </w:r>
      <w:r>
        <w:rPr>
          <w:b w:val="1"/>
        </w:rPr>
        <w:t xml:space="preserve"> год</w:t>
      </w:r>
      <w:r>
        <w:rPr>
          <w:b w:val="1"/>
        </w:rPr>
        <w:t xml:space="preserve"> и на плановый период </w:t>
      </w:r>
    </w:p>
    <w:p w14:paraId="16000000">
      <w:pPr>
        <w:pStyle w:val="Style_5"/>
        <w:ind w:firstLine="0" w:left="0"/>
        <w:jc w:val="center"/>
        <w:rPr>
          <w:b w:val="1"/>
        </w:rPr>
      </w:pP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>7</w:t>
      </w:r>
      <w:r>
        <w:rPr>
          <w:b w:val="1"/>
        </w:rPr>
        <w:t xml:space="preserve"> </w:t>
      </w:r>
      <w:r>
        <w:rPr>
          <w:b w:val="1"/>
        </w:rPr>
        <w:t>и 20</w:t>
      </w:r>
      <w:r>
        <w:rPr>
          <w:b w:val="1"/>
        </w:rPr>
        <w:t>2</w:t>
      </w:r>
      <w:r>
        <w:rPr>
          <w:b w:val="1"/>
        </w:rPr>
        <w:t>8</w:t>
      </w:r>
      <w:r>
        <w:rPr>
          <w:b w:val="1"/>
        </w:rPr>
        <w:t xml:space="preserve"> г</w:t>
      </w:r>
      <w:r>
        <w:rPr>
          <w:b w:val="1"/>
        </w:rPr>
        <w:t>о</w:t>
      </w:r>
      <w:r>
        <w:rPr>
          <w:b w:val="1"/>
        </w:rPr>
        <w:t>дов</w:t>
      </w:r>
    </w:p>
    <w:p w14:paraId="17000000">
      <w:pPr>
        <w:pStyle w:val="Style_5"/>
        <w:ind w:firstLine="709" w:left="0"/>
        <w:rPr>
          <w:sz w:val="20"/>
        </w:rPr>
      </w:pPr>
    </w:p>
    <w:p w14:paraId="18000000">
      <w:pPr>
        <w:ind w:firstLine="684" w:left="0"/>
        <w:jc w:val="both"/>
        <w:rPr>
          <w:sz w:val="28"/>
        </w:rPr>
      </w:pPr>
      <w:r>
        <w:rPr>
          <w:sz w:val="28"/>
        </w:rPr>
        <w:t xml:space="preserve">Формирование объема и структуры расходов областного бюджета </w:t>
      </w:r>
      <w:r>
        <w:rPr>
          <w:sz w:val="28"/>
        </w:rPr>
        <w:br/>
      </w:r>
      <w:r>
        <w:rPr>
          <w:sz w:val="28"/>
        </w:rPr>
        <w:t>на 202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 осуществляется исходя из «базовых» объемов бюджетных ассигнований на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годы, утвержденных Законом Курской области от </w:t>
      </w:r>
      <w:r>
        <w:rPr>
          <w:sz w:val="28"/>
        </w:rPr>
        <w:t>16</w:t>
      </w:r>
      <w:r>
        <w:rPr>
          <w:sz w:val="28"/>
        </w:rPr>
        <w:t>.12.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№ 1</w:t>
      </w:r>
      <w:r>
        <w:rPr>
          <w:sz w:val="28"/>
        </w:rPr>
        <w:t>11</w:t>
      </w:r>
      <w:r>
        <w:rPr>
          <w:sz w:val="28"/>
        </w:rPr>
        <w:t>-ЗКО «Об областном бюджете 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годов». В основу форм</w:t>
      </w:r>
      <w:r>
        <w:rPr>
          <w:sz w:val="28"/>
        </w:rPr>
        <w:t>и</w:t>
      </w:r>
      <w:r>
        <w:rPr>
          <w:sz w:val="28"/>
        </w:rPr>
        <w:t>рования расходов 202</w:t>
      </w:r>
      <w:r>
        <w:rPr>
          <w:sz w:val="28"/>
        </w:rPr>
        <w:t>8</w:t>
      </w:r>
      <w:r>
        <w:rPr>
          <w:sz w:val="28"/>
        </w:rPr>
        <w:t xml:space="preserve"> года положены бюджетные ассигнования 202</w:t>
      </w:r>
      <w:r>
        <w:rPr>
          <w:sz w:val="28"/>
        </w:rPr>
        <w:t>7</w:t>
      </w:r>
      <w:r>
        <w:rPr>
          <w:sz w:val="28"/>
        </w:rPr>
        <w:t xml:space="preserve"> года.</w:t>
      </w:r>
    </w:p>
    <w:p w14:paraId="19000000">
      <w:pPr>
        <w:ind w:firstLine="684" w:left="0"/>
        <w:jc w:val="both"/>
        <w:rPr>
          <w:sz w:val="28"/>
        </w:rPr>
      </w:pPr>
      <w:r>
        <w:rPr>
          <w:sz w:val="28"/>
        </w:rPr>
        <w:t>При формировании областного бюджета на 202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и 20</w:t>
      </w:r>
      <w:r>
        <w:rPr>
          <w:sz w:val="28"/>
        </w:rPr>
        <w:t>28</w:t>
      </w:r>
      <w:r>
        <w:rPr>
          <w:sz w:val="28"/>
        </w:rPr>
        <w:t xml:space="preserve"> годов применены общие подходы к расчету бюджетных проектир</w:t>
      </w:r>
      <w:r>
        <w:rPr>
          <w:sz w:val="28"/>
        </w:rPr>
        <w:t>о</w:t>
      </w:r>
      <w:r>
        <w:rPr>
          <w:sz w:val="28"/>
        </w:rPr>
        <w:t>вок:</w:t>
      </w:r>
    </w:p>
    <w:p w14:paraId="1A000000">
      <w:pPr>
        <w:numPr>
          <w:ilvl w:val="0"/>
          <w:numId w:val="1"/>
        </w:numPr>
        <w:ind w:firstLine="684" w:left="0"/>
        <w:jc w:val="both"/>
        <w:rPr>
          <w:sz w:val="28"/>
        </w:rPr>
      </w:pPr>
      <w:r>
        <w:rPr>
          <w:sz w:val="28"/>
        </w:rPr>
        <w:t xml:space="preserve">планирование бюджетных ассигнований </w:t>
      </w:r>
      <w:r>
        <w:rPr>
          <w:sz w:val="28"/>
        </w:rPr>
        <w:t xml:space="preserve">на оплату труда работников органов государственной власти Курской области, финансируемых за счет средств областного бюджета, </w:t>
      </w:r>
      <w:r>
        <w:rPr>
          <w:sz w:val="28"/>
        </w:rPr>
        <w:t xml:space="preserve">осуществляется </w:t>
      </w:r>
      <w:r>
        <w:rPr>
          <w:sz w:val="28"/>
        </w:rPr>
        <w:t>исходя из утве</w:t>
      </w:r>
      <w:r>
        <w:rPr>
          <w:sz w:val="28"/>
        </w:rPr>
        <w:t>р</w:t>
      </w:r>
      <w:r>
        <w:rPr>
          <w:sz w:val="28"/>
        </w:rPr>
        <w:t>жденных структур, действующих на 1 августа 202</w:t>
      </w:r>
      <w:r>
        <w:rPr>
          <w:sz w:val="28"/>
        </w:rPr>
        <w:t>5</w:t>
      </w:r>
      <w:r>
        <w:rPr>
          <w:sz w:val="28"/>
        </w:rPr>
        <w:t xml:space="preserve"> года, и нормативных</w:t>
      </w:r>
      <w:r>
        <w:rPr>
          <w:sz w:val="28"/>
        </w:rPr>
        <w:t xml:space="preserve"> </w:t>
      </w:r>
      <w:r>
        <w:rPr>
          <w:sz w:val="28"/>
        </w:rPr>
        <w:t xml:space="preserve">правовых </w:t>
      </w:r>
      <w:r>
        <w:rPr>
          <w:sz w:val="28"/>
        </w:rPr>
        <w:t xml:space="preserve"> актов Курской области, регулирующих оплату труда, а также установленных для Ку</w:t>
      </w:r>
      <w:r>
        <w:rPr>
          <w:sz w:val="28"/>
        </w:rPr>
        <w:t>р</w:t>
      </w:r>
      <w:r>
        <w:rPr>
          <w:sz w:val="28"/>
        </w:rPr>
        <w:t>ской области нормативов формирования расходов на содержание органов гос</w:t>
      </w:r>
      <w:r>
        <w:rPr>
          <w:sz w:val="28"/>
        </w:rPr>
        <w:t>у</w:t>
      </w:r>
      <w:r>
        <w:rPr>
          <w:sz w:val="28"/>
        </w:rPr>
        <w:t>дарственной власти субъекта Российской Федерации;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 xml:space="preserve">планирование бюджетных ассигнований </w:t>
      </w:r>
      <w:r>
        <w:rPr>
          <w:sz w:val="28"/>
        </w:rPr>
        <w:t>по начислениям на оплату труда</w:t>
      </w:r>
      <w:r>
        <w:rPr>
          <w:sz w:val="28"/>
        </w:rPr>
        <w:t xml:space="preserve"> осуществляется</w:t>
      </w:r>
      <w:r>
        <w:rPr>
          <w:sz w:val="28"/>
        </w:rPr>
        <w:t xml:space="preserve"> в соответствии с установленными тар</w:t>
      </w:r>
      <w:r>
        <w:rPr>
          <w:sz w:val="28"/>
        </w:rPr>
        <w:t>и</w:t>
      </w:r>
      <w:r>
        <w:rPr>
          <w:sz w:val="28"/>
        </w:rPr>
        <w:t>фами страховых взносов в государственные внебюджетные фонды в размере 30,2%;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3) планирование бюджетных ассигнований на исполнение вновь принима</w:t>
      </w:r>
      <w:r>
        <w:rPr>
          <w:sz w:val="28"/>
        </w:rPr>
        <w:t>е</w:t>
      </w:r>
      <w:r>
        <w:rPr>
          <w:sz w:val="28"/>
        </w:rPr>
        <w:t>мых обязательств осуществляется в соответствии с основаниями для возникнов</w:t>
      </w:r>
      <w:r>
        <w:rPr>
          <w:sz w:val="28"/>
        </w:rPr>
        <w:t>е</w:t>
      </w:r>
      <w:r>
        <w:rPr>
          <w:sz w:val="28"/>
        </w:rPr>
        <w:t>ния расходных обязательств областного бюджета согласно статьям 85 и 174.2 БК РФ, учитывая положения порядка конкурсного распределения принимаемых ра</w:t>
      </w:r>
      <w:r>
        <w:rPr>
          <w:sz w:val="28"/>
        </w:rPr>
        <w:t>с</w:t>
      </w:r>
      <w:r>
        <w:rPr>
          <w:sz w:val="28"/>
        </w:rPr>
        <w:t>ходных обязательств областного бюджета (постановление Администрации Ку</w:t>
      </w:r>
      <w:r>
        <w:rPr>
          <w:sz w:val="28"/>
        </w:rPr>
        <w:t>р</w:t>
      </w:r>
      <w:r>
        <w:rPr>
          <w:sz w:val="28"/>
        </w:rPr>
        <w:t>ской области от 07.07.2011 № 301-па);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4) </w:t>
      </w:r>
      <w:r>
        <w:rPr>
          <w:sz w:val="28"/>
        </w:rPr>
        <w:t>п</w:t>
      </w:r>
      <w:r>
        <w:rPr>
          <w:sz w:val="28"/>
        </w:rPr>
        <w:t>ланирование бюджетных ассигнований на предоставление субсидий (грантов в форме субсидий) юридическим лицам, некоммерческим организациям, не являющимся областными государственными учреждениями, осуществляется на основании нормативных правовых актов (проектов нормативных правовых актов) Курской области, определяющих категории и критерии отбора юридических лиц, некоммерческих организаций, цели, условия и порядок предоставления субсидий (грантов в форме субсидий) и порядок возврата субсидий (грантов в форме субсидий) в случае нарушения условий, установленных при их предоставлении;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5) расчет объемов субвенций бюджетам муниципальных</w:t>
      </w:r>
      <w:r>
        <w:rPr>
          <w:sz w:val="28"/>
        </w:rPr>
        <w:t xml:space="preserve"> образований на 202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 производится в соответствии с законами Курской области;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 xml:space="preserve">планирование бюджетных ассигнований </w:t>
      </w:r>
      <w:r>
        <w:rPr>
          <w:sz w:val="28"/>
        </w:rPr>
        <w:t>на предоставление межбюджетных тран</w:t>
      </w:r>
      <w:r>
        <w:rPr>
          <w:sz w:val="28"/>
        </w:rPr>
        <w:t>с</w:t>
      </w:r>
      <w:r>
        <w:rPr>
          <w:sz w:val="28"/>
        </w:rPr>
        <w:t>фертов бюджетам муниципальных образований в виде дотаций на выравнивание бюджетной обеспеченности и поддержку мер по обеспечению сбалансированн</w:t>
      </w:r>
      <w:r>
        <w:rPr>
          <w:sz w:val="28"/>
        </w:rPr>
        <w:t>о</w:t>
      </w:r>
      <w:r>
        <w:rPr>
          <w:sz w:val="28"/>
        </w:rPr>
        <w:t xml:space="preserve">сти бюджетов определяются </w:t>
      </w:r>
      <w:r>
        <w:rPr>
          <w:sz w:val="28"/>
        </w:rPr>
        <w:br/>
      </w:r>
      <w:r>
        <w:rPr>
          <w:sz w:val="28"/>
        </w:rPr>
        <w:t xml:space="preserve">в соответствии с </w:t>
      </w:r>
      <w:r>
        <w:rPr>
          <w:sz w:val="28"/>
        </w:rPr>
        <w:t>з</w:t>
      </w:r>
      <w:r>
        <w:rPr>
          <w:sz w:val="28"/>
        </w:rPr>
        <w:t>аконами Курской области, регул</w:t>
      </w:r>
      <w:r>
        <w:rPr>
          <w:sz w:val="28"/>
        </w:rPr>
        <w:t>и</w:t>
      </w:r>
      <w:r>
        <w:rPr>
          <w:sz w:val="28"/>
        </w:rPr>
        <w:t xml:space="preserve">рующими порядок </w:t>
      </w:r>
      <w:r>
        <w:rPr>
          <w:sz w:val="28"/>
        </w:rPr>
        <w:br/>
      </w:r>
      <w:r>
        <w:rPr>
          <w:sz w:val="28"/>
        </w:rPr>
        <w:t>и методику распределения дотаций;</w:t>
      </w: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7) </w:t>
      </w:r>
      <w:r>
        <w:rPr>
          <w:sz w:val="28"/>
        </w:rPr>
        <w:t xml:space="preserve">расходы областного бюджета </w:t>
      </w:r>
      <w:r>
        <w:rPr>
          <w:sz w:val="28"/>
        </w:rPr>
        <w:t>на предоставление межбюджетных тран</w:t>
      </w:r>
      <w:r>
        <w:rPr>
          <w:sz w:val="28"/>
        </w:rPr>
        <w:t>с</w:t>
      </w:r>
      <w:r>
        <w:rPr>
          <w:sz w:val="28"/>
        </w:rPr>
        <w:t>фертов бюджетам муниципальных образований в виде субсидий планируются на основании нормативных правовых актов Курской области, устанавливающих о</w:t>
      </w:r>
      <w:r>
        <w:rPr>
          <w:sz w:val="28"/>
        </w:rPr>
        <w:t>б</w:t>
      </w:r>
      <w:r>
        <w:rPr>
          <w:sz w:val="28"/>
        </w:rPr>
        <w:t xml:space="preserve">щие требования к формированию, предоставлению и распределению субсидий, </w:t>
      </w:r>
      <w:r>
        <w:rPr>
          <w:sz w:val="28"/>
        </w:rPr>
        <w:t>с учетом установленных предельных уровней софинансирования расходных обязательств муниципальных образований из областного бюджета на 202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 xml:space="preserve">8 </w:t>
      </w:r>
      <w:r>
        <w:rPr>
          <w:sz w:val="28"/>
        </w:rPr>
        <w:t>годов;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8) </w:t>
      </w:r>
      <w:r>
        <w:rPr>
          <w:sz w:val="28"/>
        </w:rPr>
        <w:t xml:space="preserve">расходы областного бюджета </w:t>
      </w:r>
      <w:r>
        <w:rPr>
          <w:sz w:val="28"/>
        </w:rPr>
        <w:t>на предоставление межбюджетных тран</w:t>
      </w:r>
      <w:r>
        <w:rPr>
          <w:sz w:val="28"/>
        </w:rPr>
        <w:t>с</w:t>
      </w:r>
      <w:r>
        <w:rPr>
          <w:sz w:val="28"/>
        </w:rPr>
        <w:t>фертов бюджетам муниципальных образований в виде иных межбюджетных трансфертов планируются на основании нормативных правовых актов Курской области, определяющих методику распределения и правила предоставления иных межбюджетных трансфертов;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9) объем бюджетных ассигнований дорожного фонда Курской области пл</w:t>
      </w:r>
      <w:r>
        <w:rPr>
          <w:sz w:val="28"/>
        </w:rPr>
        <w:t>а</w:t>
      </w:r>
      <w:r>
        <w:rPr>
          <w:sz w:val="28"/>
        </w:rPr>
        <w:t>нируется в размере прогнозируемого объема доходов, перечень которых утве</w:t>
      </w:r>
      <w:r>
        <w:rPr>
          <w:sz w:val="28"/>
        </w:rPr>
        <w:t>р</w:t>
      </w:r>
      <w:r>
        <w:rPr>
          <w:sz w:val="28"/>
        </w:rPr>
        <w:t>жден Законом Курской области</w:t>
      </w:r>
      <w:r>
        <w:rPr>
          <w:color w:val="FF0000"/>
          <w:sz w:val="28"/>
        </w:rPr>
        <w:t xml:space="preserve"> </w:t>
      </w:r>
      <w:r>
        <w:rPr>
          <w:sz w:val="28"/>
        </w:rPr>
        <w:t>от 23.08.2011 № 52-ЗКО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br/>
      </w:r>
      <w:r>
        <w:rPr>
          <w:sz w:val="28"/>
        </w:rPr>
        <w:t>«О дорожном фонде Курской области»</w:t>
      </w:r>
      <w:r>
        <w:rPr>
          <w:color w:val="FF0000"/>
          <w:sz w:val="28"/>
        </w:rPr>
        <w:t xml:space="preserve"> </w:t>
      </w:r>
      <w:r>
        <w:rPr>
          <w:sz w:val="28"/>
        </w:rPr>
        <w:t>(с учетом изменений и дополнений), включая межбюджетные трансферты из федерального бюджета с учетом изменений, внесенных в федеральное законодательство;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 xml:space="preserve">) расходы на строительство (реконструкцию) объектов государственной собственности Курской области предусмотрены </w:t>
      </w:r>
      <w:r>
        <w:rPr>
          <w:sz w:val="28"/>
        </w:rPr>
        <w:br/>
      </w:r>
      <w:r>
        <w:rPr>
          <w:sz w:val="28"/>
        </w:rPr>
        <w:t xml:space="preserve">в соответствии с решениями об осуществлении бюджетных инвестиций </w:t>
      </w:r>
      <w:r>
        <w:rPr>
          <w:sz w:val="28"/>
        </w:rPr>
        <w:br/>
      </w:r>
      <w:r>
        <w:rPr>
          <w:sz w:val="28"/>
        </w:rPr>
        <w:t>в объекты государственной собстве</w:t>
      </w:r>
      <w:r>
        <w:rPr>
          <w:sz w:val="28"/>
        </w:rPr>
        <w:t>н</w:t>
      </w:r>
      <w:r>
        <w:rPr>
          <w:sz w:val="28"/>
        </w:rPr>
        <w:t>ности Курской области;</w:t>
      </w:r>
    </w:p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 xml:space="preserve">) </w:t>
      </w:r>
      <w:r>
        <w:rPr>
          <w:sz w:val="28"/>
        </w:rPr>
        <w:t>расходы на обеспечение условий софинансирования из федерального бюджета определены исходя из проекта федерального закона «О федеральном бюджете на 202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годов», предварительных объемов, доведенных федеральными органами, и в соответствии с заключенными соглашениями;</w:t>
      </w:r>
    </w:p>
    <w:p w14:paraId="25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>) расходы на социальные выплаты и меры социальной поддержки отдел</w:t>
      </w:r>
      <w:r>
        <w:rPr>
          <w:sz w:val="28"/>
        </w:rPr>
        <w:t>ь</w:t>
      </w:r>
      <w:r>
        <w:rPr>
          <w:sz w:val="28"/>
        </w:rPr>
        <w:t xml:space="preserve">ным категориям граждан определены в соответствии </w:t>
      </w:r>
      <w:r>
        <w:rPr>
          <w:sz w:val="28"/>
        </w:rPr>
        <w:br/>
      </w:r>
      <w:r>
        <w:rPr>
          <w:sz w:val="28"/>
        </w:rPr>
        <w:t>с действующим законод</w:t>
      </w:r>
      <w:r>
        <w:rPr>
          <w:sz w:val="28"/>
        </w:rPr>
        <w:t>а</w:t>
      </w:r>
      <w:r>
        <w:rPr>
          <w:sz w:val="28"/>
        </w:rPr>
        <w:t>тельством исходя из ожидаемой численности получателей, с учетом ее изменения, и размеров выплат;</w:t>
      </w:r>
    </w:p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>) бюджетные ассигнования, финансовое обеспечение которых осущест</w:t>
      </w:r>
      <w:r>
        <w:rPr>
          <w:sz w:val="28"/>
        </w:rPr>
        <w:t>в</w:t>
      </w:r>
      <w:r>
        <w:rPr>
          <w:sz w:val="28"/>
        </w:rPr>
        <w:t>ляется за счет средств федерального бюджета в виде целевых субвенций, субс</w:t>
      </w:r>
      <w:r>
        <w:rPr>
          <w:sz w:val="28"/>
        </w:rPr>
        <w:t>и</w:t>
      </w:r>
      <w:r>
        <w:rPr>
          <w:sz w:val="28"/>
        </w:rPr>
        <w:t>дий и иных межбюджетных трансфертов, предусматриваются в объемах, отр</w:t>
      </w:r>
      <w:r>
        <w:rPr>
          <w:sz w:val="28"/>
        </w:rPr>
        <w:t>а</w:t>
      </w:r>
      <w:r>
        <w:rPr>
          <w:sz w:val="28"/>
        </w:rPr>
        <w:t>женных в проекте ф</w:t>
      </w:r>
      <w:r>
        <w:rPr>
          <w:sz w:val="28"/>
        </w:rPr>
        <w:t>едерального закона «О федеральном бюджете на 202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и 202</w:t>
      </w:r>
      <w:r>
        <w:rPr>
          <w:sz w:val="28"/>
        </w:rPr>
        <w:t>8</w:t>
      </w:r>
      <w:r>
        <w:rPr>
          <w:sz w:val="28"/>
        </w:rPr>
        <w:t xml:space="preserve"> годов» на момент формирования областного бюджета.</w:t>
      </w:r>
    </w:p>
    <w:p w14:paraId="27000000">
      <w:pPr>
        <w:ind w:firstLine="709" w:left="0"/>
        <w:jc w:val="both"/>
        <w:rPr>
          <w:sz w:val="28"/>
          <w:highlight w:val="yellow"/>
        </w:rPr>
      </w:pPr>
    </w:p>
    <w:p w14:paraId="28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</w:rPr>
        <w:t>В расчете бюджетных ассигнований учтены следующие факторы:</w:t>
      </w:r>
    </w:p>
    <w:p w14:paraId="29000000">
      <w:pPr>
        <w:ind w:firstLine="709" w:left="0"/>
        <w:jc w:val="both"/>
        <w:rPr>
          <w:sz w:val="28"/>
        </w:rPr>
      </w:pPr>
      <w:r>
        <w:rPr>
          <w:sz w:val="28"/>
        </w:rPr>
        <w:t>а) установ</w:t>
      </w:r>
      <w:r>
        <w:rPr>
          <w:sz w:val="28"/>
        </w:rPr>
        <w:t>ление</w:t>
      </w:r>
      <w:r>
        <w:rPr>
          <w:sz w:val="28"/>
        </w:rPr>
        <w:t xml:space="preserve"> </w:t>
      </w:r>
      <w:r>
        <w:rPr>
          <w:sz w:val="28"/>
        </w:rPr>
        <w:t xml:space="preserve">с 1 </w:t>
      </w:r>
      <w:r>
        <w:rPr>
          <w:sz w:val="28"/>
        </w:rPr>
        <w:t>декабря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года размер</w:t>
      </w:r>
      <w:r>
        <w:rPr>
          <w:sz w:val="28"/>
        </w:rPr>
        <w:t>а</w:t>
      </w:r>
      <w:r>
        <w:rPr>
          <w:sz w:val="28"/>
        </w:rPr>
        <w:t xml:space="preserve"> индексации 1,04:</w:t>
      </w:r>
    </w:p>
    <w:p w14:paraId="2A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ежемесячной денежной компенсации, предусмотренной Законом Курской области от 29 декабря 2003 года № 64-ЗКО «Об установлении ежемесячной компенсации лицам, проходившим службу по призыву, ставшим инвалидами вследствие военной травмы»;</w:t>
      </w:r>
    </w:p>
    <w:p w14:paraId="2B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ежемесячной денежной выплаты, предусмотренной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"https://login.consultant.ru/link/?req=doc&amp;base=RLAW417&amp;n=128525&amp;dst=100026"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частью 4 статьи 3</w:t>
      </w:r>
      <w:r>
        <w:rPr>
          <w:color w:val="000000"/>
          <w:sz w:val="28"/>
        </w:rPr>
        <w:fldChar w:fldCharType="end"/>
      </w:r>
      <w:r>
        <w:t xml:space="preserve"> </w:t>
      </w:r>
      <w:r>
        <w:rPr>
          <w:color w:val="000000"/>
          <w:sz w:val="28"/>
        </w:rPr>
        <w:t>Закона Курской области от 1 декабря 2004 года № 58-ЗКО «О социальной поддержке лиц, проработавших в тылу в период с 22 июня 1941</w:t>
      </w:r>
      <w:r>
        <w:rPr>
          <w:color w:val="000000"/>
          <w:sz w:val="28"/>
        </w:rPr>
        <w:t xml:space="preserve"> года </w:t>
      </w:r>
      <w:r>
        <w:rPr>
          <w:color w:val="000000"/>
          <w:sz w:val="28"/>
        </w:rPr>
        <w:t>по 9 мая 1945 года не менее шести мес</w:t>
      </w:r>
      <w:r>
        <w:rPr>
          <w:color w:val="000000"/>
          <w:sz w:val="28"/>
        </w:rPr>
        <w:t>яцев, исключая период работы на </w:t>
      </w:r>
      <w:r>
        <w:rPr>
          <w:color w:val="000000"/>
          <w:sz w:val="28"/>
        </w:rPr>
        <w:t>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ветеранов труда»;</w:t>
      </w:r>
    </w:p>
    <w:p w14:paraId="2C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единовременной денежной выплаты и ежемесячной денежной выплаты, предусмотренных частью 3 статьи 1 и частью 4 статьи 2.1 Закона Курской области от 1 декабря 2004 года № 59-ЗКО «О социальной поддержке реабилитированных лиц и лиц, пострадавших от политических репрессий»;</w:t>
      </w:r>
    </w:p>
    <w:p w14:paraId="2D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ежемесячной денежной компенсации, предусмотренной статьей 3 Закона Курской области от 14 августа 2006 года № 53-ЗКО «</w:t>
      </w:r>
      <w:r>
        <w:rPr>
          <w:color w:val="000000"/>
          <w:sz w:val="28"/>
        </w:rPr>
        <w:t>О </w:t>
      </w:r>
      <w:r>
        <w:rPr>
          <w:color w:val="000000"/>
          <w:sz w:val="28"/>
        </w:rPr>
        <w:t>предоставлении социальной поддержки отдельным категориям граждан по обеспечению продовольственными товарами»;</w:t>
      </w:r>
    </w:p>
    <w:p w14:paraId="2E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ежемесячной денежной выплаты, предусмотренной пунктом 1 части 1 статьи 2 Закона Курской области от 9 июня 2007 года № 42-ЗКО «О звании «Ветеран труда Курской области»;</w:t>
      </w:r>
    </w:p>
    <w:p w14:paraId="2F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ежемесячных пособий, ежегодной денежной выплаты и областного материнского капитала, предусмотренных статьями 11,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"https://login.consultant.ru/link/?req=doc&amp;base=RLAW417&amp;n=125697&amp;dst=183"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14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"https://login.consultant.ru/link/?req=doc&amp;base=RLAW417&amp;n=125697&amp;dst=100198"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21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"https://login.consultant.ru/link/?req=doc&amp;base=RLAW417&amp;n=125697&amp;dst=38"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22.4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Закона Курской области от 10 декабря 2008 года № 108-ЗКО «О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государственной поддержке семей, имеющих детей, в Курской области»;</w:t>
      </w:r>
    </w:p>
    <w:p w14:paraId="30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единовременной денежной выплаты, предусмотренной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"https://login.consultant.ru/link/?req=doc&amp;base=RLAW417&amp;n=115547"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Законом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Курской области от 24 ноября 2011 года № 92-ЗКО «О предоставлении дополнительной меры социальной поддержки в виде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</w:t>
      </w:r>
      <w:r>
        <w:rPr>
          <w:color w:val="000000"/>
          <w:sz w:val="28"/>
        </w:rPr>
        <w:t>й-сирот и детей, оставшихся без </w:t>
      </w:r>
      <w:r>
        <w:rPr>
          <w:color w:val="000000"/>
          <w:sz w:val="28"/>
        </w:rPr>
        <w:t>попечения родителей»;</w:t>
      </w:r>
    </w:p>
    <w:p w14:paraId="31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ежемесячного денежного вознаграждения, предусмотренного статьей 5 Закона Курской области от 1 февраля 2012 года № 12-ЗКО «</w:t>
      </w:r>
      <w:r>
        <w:rPr>
          <w:color w:val="000000"/>
          <w:sz w:val="28"/>
        </w:rPr>
        <w:t>Об </w:t>
      </w:r>
      <w:r>
        <w:rPr>
          <w:color w:val="000000"/>
          <w:sz w:val="28"/>
        </w:rPr>
        <w:t>организации деятельности приемных семей для граждан пожилого возраста и инвалидов в Курской области»;</w:t>
      </w:r>
    </w:p>
    <w:p w14:paraId="32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денежных средств на содержание усыновленного ребенка, предусмотренных Законом Курской области от 17 августа 2012 года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№ 78-ЗКО «О выплате денежных средств на содержание усыновленного ребенка»;</w:t>
      </w:r>
    </w:p>
    <w:p w14:paraId="33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вознаграждения, причи</w:t>
      </w:r>
      <w:r>
        <w:rPr>
          <w:color w:val="000000"/>
          <w:sz w:val="28"/>
        </w:rPr>
        <w:t>тающегося приемному родителю за </w:t>
      </w:r>
      <w:r>
        <w:rPr>
          <w:color w:val="000000"/>
          <w:sz w:val="28"/>
        </w:rPr>
        <w:t>исполнение его обязанностей, предусмотренного статьей 1 Закона Курской области от 23 апреля 2013 года № 35-ЗКО «О вознаграждении, причитающемся приемному родителю, и мерах социальной поддержки, предоставляемых приемной сем</w:t>
      </w:r>
      <w:r>
        <w:rPr>
          <w:color w:val="000000"/>
          <w:sz w:val="28"/>
        </w:rPr>
        <w:t>ье, размере денежных средств на </w:t>
      </w:r>
      <w:r>
        <w:rPr>
          <w:color w:val="000000"/>
          <w:sz w:val="28"/>
        </w:rPr>
        <w:t>содержание ребенка (детей), переданного на воспитание в приемную семью»;</w:t>
      </w:r>
    </w:p>
    <w:p w14:paraId="34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ежегод</w:t>
      </w:r>
      <w:r>
        <w:rPr>
          <w:color w:val="000000"/>
          <w:sz w:val="28"/>
        </w:rPr>
        <w:t>ной денежной выплаты, предусмотренной пунктом 1 части 1 статьи 2 Закона Курской области от 11 июня 2019 года № 36-ЗКО «О детях войны в Курской области»;</w:t>
      </w:r>
    </w:p>
    <w:p w14:paraId="35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единовременной денежной премии и ежемесячной доплаты к пенсии, предусмотренных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"https://login.consultant.ru/link/?req=doc&amp;base=RLAW417&amp;n=132445&amp;dst=100113"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пунктом 3 части 1 статьи 10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Закона Курской области от </w:t>
      </w:r>
      <w:r>
        <w:rPr>
          <w:color w:val="000000"/>
          <w:sz w:val="28"/>
        </w:rPr>
        <w:t>17 декабря 2020 года № 114-ЗКО «О наградах Курской области»;</w:t>
      </w:r>
    </w:p>
    <w:p w14:paraId="36000000">
      <w:pPr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минимального размера пенсии за выслугу лет, предусмотренного частью 3 статьи 4 Закона Курской области от 1 февраля 2017 года № 1-ЗКО «О пенсионном обеспечении лиц, замещавших должности государственной гражданской службы Курской области»</w:t>
      </w:r>
      <w:r>
        <w:rPr>
          <w:color w:val="000000"/>
          <w:sz w:val="28"/>
        </w:rPr>
        <w:t>;</w:t>
      </w:r>
    </w:p>
    <w:p w14:paraId="37000000">
      <w:pPr>
        <w:ind w:firstLine="709" w:left="0"/>
        <w:jc w:val="both"/>
        <w:rPr>
          <w:sz w:val="28"/>
        </w:rPr>
      </w:pPr>
      <w:r>
        <w:rPr>
          <w:sz w:val="28"/>
        </w:rPr>
        <w:t>ежемесячной денежной выплаты и ежегодной денежной выплаты, предусмотренных статьями 1 и 2 Закона Курской области от 07.02.2025 № 4-ЗКО «О предоставлении отдельным категориям граждан денежных выплат и о внесении изменений в отдельные законодательные акты Курской области».</w:t>
      </w:r>
    </w:p>
    <w:p w14:paraId="38000000">
      <w:pPr>
        <w:pStyle w:val="Style_6"/>
        <w:ind w:firstLine="709" w:left="0"/>
      </w:pPr>
      <w:r>
        <w:t xml:space="preserve">б) </w:t>
      </w:r>
      <w:r>
        <w:t>у</w:t>
      </w:r>
      <w:r>
        <w:t>станов</w:t>
      </w:r>
      <w:r>
        <w:t>ление</w:t>
      </w:r>
      <w:r>
        <w:t xml:space="preserve"> с 1 </w:t>
      </w:r>
      <w:r>
        <w:t>декабря</w:t>
      </w:r>
      <w:r>
        <w:t xml:space="preserve"> 202</w:t>
      </w:r>
      <w:r>
        <w:t>6</w:t>
      </w:r>
      <w:r>
        <w:t xml:space="preserve"> года размер</w:t>
      </w:r>
      <w:r>
        <w:t>а</w:t>
      </w:r>
      <w:r>
        <w:t xml:space="preserve"> индексации 1 </w:t>
      </w:r>
      <w:r>
        <w:rPr>
          <w:color w:val="000000"/>
        </w:rPr>
        <w:t>единовременной компенсационной выплаты, предусмотренной статьей 7.1 Закона Курской области от 21 сентября 2011 года № 74-ЗКО «О бесплатном предоставлении в собственность отдельным категориям граждан земельных участков на территории Курской области»</w:t>
      </w:r>
      <w:r>
        <w:t>.</w:t>
      </w:r>
    </w:p>
    <w:p w14:paraId="39000000">
      <w:pPr>
        <w:ind w:firstLine="709" w:left="0"/>
        <w:jc w:val="both"/>
        <w:rPr>
          <w:sz w:val="28"/>
        </w:rPr>
      </w:pPr>
      <w:r>
        <w:rPr>
          <w:sz w:val="28"/>
        </w:rPr>
        <w:t>Кроме того, при формировании областного бюджета на 202</w:t>
      </w:r>
      <w:r>
        <w:rPr>
          <w:sz w:val="28"/>
        </w:rPr>
        <w:t>6</w:t>
      </w:r>
      <w:r>
        <w:rPr>
          <w:sz w:val="28"/>
        </w:rPr>
        <w:t xml:space="preserve"> год и на план</w:t>
      </w:r>
      <w:r>
        <w:rPr>
          <w:sz w:val="28"/>
        </w:rPr>
        <w:t>о</w:t>
      </w:r>
      <w:r>
        <w:rPr>
          <w:sz w:val="28"/>
        </w:rPr>
        <w:t>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 учитывается решение Комиссии по согласованию показателей прогноза социально-экономического развития Курской области и пр</w:t>
      </w:r>
      <w:r>
        <w:rPr>
          <w:sz w:val="28"/>
        </w:rPr>
        <w:t>о</w:t>
      </w:r>
      <w:r>
        <w:rPr>
          <w:sz w:val="28"/>
        </w:rPr>
        <w:t>екта областного бюджета</w:t>
      </w:r>
      <w:r>
        <w:rPr>
          <w:sz w:val="28"/>
        </w:rPr>
        <w:t xml:space="preserve">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годов, обр</w:t>
      </w:r>
      <w:r>
        <w:rPr>
          <w:sz w:val="28"/>
        </w:rPr>
        <w:t>а</w:t>
      </w:r>
      <w:r>
        <w:rPr>
          <w:sz w:val="28"/>
        </w:rPr>
        <w:t>зованной в соответствии с постановлением Правительства Курской области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25</w:t>
      </w:r>
      <w:r>
        <w:rPr>
          <w:sz w:val="28"/>
        </w:rPr>
        <w:t>.03.202</w:t>
      </w:r>
      <w:r>
        <w:rPr>
          <w:sz w:val="28"/>
        </w:rPr>
        <w:t>5 № 161</w:t>
      </w:r>
      <w:r>
        <w:rPr>
          <w:sz w:val="28"/>
        </w:rPr>
        <w:t>-рп.</w:t>
      </w:r>
    </w:p>
    <w:p w14:paraId="3A000000">
      <w:pPr>
        <w:ind/>
        <w:jc w:val="center"/>
        <w:rPr>
          <w:b w:val="1"/>
          <w:color w:val="FF0000"/>
          <w:sz w:val="28"/>
        </w:rPr>
      </w:pPr>
    </w:p>
    <w:p w14:paraId="3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 xml:space="preserve">Отдельные особенности </w:t>
      </w:r>
      <w:r>
        <w:rPr>
          <w:b w:val="1"/>
          <w:sz w:val="28"/>
        </w:rPr>
        <w:t>планирования бюджетных ассигнов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ний </w:t>
      </w:r>
    </w:p>
    <w:p w14:paraId="3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>б</w:t>
      </w:r>
      <w:r>
        <w:rPr>
          <w:b w:val="1"/>
          <w:sz w:val="28"/>
        </w:rPr>
        <w:t>ластного бюджета</w:t>
      </w:r>
    </w:p>
    <w:p w14:paraId="3D000000">
      <w:pPr>
        <w:ind w:firstLine="709" w:left="0"/>
        <w:jc w:val="both"/>
        <w:rPr>
          <w:sz w:val="28"/>
          <w:highlight w:val="yellow"/>
        </w:rPr>
      </w:pPr>
    </w:p>
    <w:p w14:paraId="3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Раздел 0400 «Национальная экономика»</w:t>
      </w:r>
    </w:p>
    <w:p w14:paraId="3F000000">
      <w:pPr>
        <w:ind w:firstLine="709" w:left="0"/>
        <w:jc w:val="center"/>
        <w:rPr>
          <w:b w:val="1"/>
          <w:sz w:val="28"/>
        </w:rPr>
      </w:pPr>
    </w:p>
    <w:p w14:paraId="40000000">
      <w:pPr>
        <w:pStyle w:val="Style_7"/>
        <w:widowControl w:val="1"/>
        <w:ind w:firstLine="741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Подраздел 0</w:t>
      </w:r>
      <w:r>
        <w:rPr>
          <w:rFonts w:ascii="Times New Roman" w:hAnsi="Times New Roman"/>
          <w:b w:val="1"/>
          <w:i w:val="1"/>
          <w:sz w:val="28"/>
        </w:rPr>
        <w:t>409</w:t>
      </w:r>
      <w:r>
        <w:rPr>
          <w:rFonts w:ascii="Times New Roman" w:hAnsi="Times New Roman"/>
          <w:b w:val="1"/>
          <w:i w:val="1"/>
          <w:sz w:val="28"/>
        </w:rPr>
        <w:t xml:space="preserve"> «</w:t>
      </w:r>
      <w:r>
        <w:rPr>
          <w:rFonts w:ascii="Times New Roman" w:hAnsi="Times New Roman"/>
          <w:b w:val="1"/>
          <w:i w:val="1"/>
          <w:sz w:val="28"/>
        </w:rPr>
        <w:t>Дорожное хозяйство (дорожные фонды)</w:t>
      </w:r>
      <w:r>
        <w:rPr>
          <w:rFonts w:ascii="Times New Roman" w:hAnsi="Times New Roman"/>
          <w:b w:val="1"/>
          <w:i w:val="1"/>
          <w:sz w:val="28"/>
        </w:rPr>
        <w:t>»</w:t>
      </w:r>
    </w:p>
    <w:p w14:paraId="41000000">
      <w:pPr>
        <w:pStyle w:val="Style_8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По данному подразделу расходы на 2026 год и на плановый период 2027 и 2028 годов рассчитаны с учетом приостановления</w:t>
      </w:r>
      <w:r>
        <w:rPr>
          <w:rFonts w:ascii="Times New Roman" w:hAnsi="Times New Roman"/>
          <w:sz w:val="28"/>
        </w:rPr>
        <w:t xml:space="preserve"> подпункта «в» пункта 1 части 2 статьи 2 Закона Курской области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23 августа 2011 года № 52-ЗКО «О дорожном фонде Курской области» (газета «Курская правда» от 1 сентября 2011 года № 104; от 24 декабря 2011 года № 153; официальный сайт Администрации Курской области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"http://adm.rkursk.ru"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http://adm.rkursk.ru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24 апреля 2013 года; от 18 сентября 2013 года;                   от 20 декабря 2013 года; от 27 ноября 2014 года; от 3 ноября 2016 года;               от 15 декабря 2016 года; от 8 декабря 2017 года; от 18 июля 2018 года;                от 17 ноября 2020 года; сетевое издание «Региональное информационное агентство «Курск»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"https://riakursk.ru"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https://riakursk.ru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29 ноября 2022 года; от 21 июня 2023 года; от 19 декабря 2023 года; от 28 марта 2025 года).</w:t>
      </w:r>
    </w:p>
    <w:p w14:paraId="42000000">
      <w:pPr>
        <w:pStyle w:val="Style_7"/>
        <w:widowControl w:val="1"/>
        <w:ind w:firstLine="741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43000000">
      <w:pPr>
        <w:ind w:firstLine="709" w:left="0"/>
        <w:jc w:val="center"/>
        <w:rPr>
          <w:b w:val="1"/>
          <w:sz w:val="28"/>
        </w:rPr>
      </w:pPr>
    </w:p>
    <w:p w14:paraId="44000000">
      <w:pPr>
        <w:ind w:firstLine="709" w:left="0"/>
        <w:jc w:val="center"/>
        <w:rPr>
          <w:b w:val="1"/>
          <w:sz w:val="28"/>
        </w:rPr>
      </w:pPr>
    </w:p>
    <w:p w14:paraId="45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Раздел 0700 «Образование»</w:t>
      </w:r>
    </w:p>
    <w:p w14:paraId="46000000">
      <w:pPr>
        <w:ind w:firstLine="709" w:left="0"/>
        <w:rPr>
          <w:b w:val="1"/>
          <w:sz w:val="28"/>
        </w:rPr>
      </w:pPr>
    </w:p>
    <w:p w14:paraId="47000000">
      <w:pPr>
        <w:pStyle w:val="Style_7"/>
        <w:widowControl w:val="1"/>
        <w:ind w:firstLine="741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Подраздел 0702 «Общее образование»</w:t>
      </w:r>
    </w:p>
    <w:p w14:paraId="4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 данному подразделу предусмотрены расходы на </w:t>
      </w:r>
      <w:r>
        <w:rPr>
          <w:sz w:val="28"/>
        </w:rPr>
        <w:t>проектировани</w:t>
      </w:r>
      <w:r>
        <w:rPr>
          <w:sz w:val="28"/>
        </w:rPr>
        <w:t>е</w:t>
      </w:r>
      <w:r>
        <w:rPr>
          <w:sz w:val="28"/>
        </w:rPr>
        <w:t>, строительств</w:t>
      </w:r>
      <w:r>
        <w:rPr>
          <w:sz w:val="28"/>
        </w:rPr>
        <w:t>о</w:t>
      </w:r>
      <w:r>
        <w:rPr>
          <w:sz w:val="28"/>
        </w:rPr>
        <w:t xml:space="preserve"> и эксплуатаци</w:t>
      </w:r>
      <w:r>
        <w:rPr>
          <w:sz w:val="28"/>
        </w:rPr>
        <w:t>ю</w:t>
      </w:r>
      <w:r>
        <w:rPr>
          <w:sz w:val="28"/>
        </w:rPr>
        <w:t xml:space="preserve"> объекта образования: «Строительство объекта образования (школы) на пр-те</w:t>
      </w:r>
      <w:r>
        <w:rPr>
          <w:sz w:val="28"/>
        </w:rPr>
        <w:t xml:space="preserve"> </w:t>
      </w:r>
      <w:r>
        <w:rPr>
          <w:sz w:val="28"/>
        </w:rPr>
        <w:t>Н. Плевицкой</w:t>
      </w:r>
      <w:r>
        <w:rPr>
          <w:sz w:val="28"/>
        </w:rPr>
        <w:t xml:space="preserve"> </w:t>
      </w:r>
      <w:r>
        <w:rPr>
          <w:sz w:val="28"/>
        </w:rPr>
        <w:t>г. Курска (Общеобразовательная школа на 1600 мест по адресу:</w:t>
      </w:r>
      <w:r>
        <w:rPr>
          <w:sz w:val="28"/>
        </w:rPr>
        <w:t xml:space="preserve"> </w:t>
      </w:r>
      <w:r>
        <w:rPr>
          <w:sz w:val="28"/>
        </w:rPr>
        <w:t>пр-т Н. Плевицкой г. Курск, Курской области)» в соответствии с заключенным концессионным соглашением между Курской областью и ООО «ПроШкола №47».</w:t>
      </w:r>
    </w:p>
    <w:p w14:paraId="49000000">
      <w:pPr>
        <w:ind w:firstLine="709" w:left="0"/>
        <w:jc w:val="both"/>
        <w:rPr>
          <w:sz w:val="28"/>
        </w:rPr>
      </w:pPr>
    </w:p>
    <w:p w14:paraId="4A000000">
      <w:pPr>
        <w:pStyle w:val="Style_8"/>
        <w:tabs>
          <w:tab w:leader="none" w:pos="7088" w:val="left"/>
        </w:tabs>
        <w:ind w:firstLine="0" w:left="0"/>
        <w:jc w:val="center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1000 «Социальная политика»</w:t>
      </w:r>
    </w:p>
    <w:p w14:paraId="4B000000">
      <w:pPr>
        <w:pStyle w:val="Style_8"/>
        <w:tabs>
          <w:tab w:leader="none" w:pos="7088" w:val="left"/>
        </w:tabs>
        <w:ind w:firstLine="0" w:left="0"/>
        <w:outlineLvl w:val="3"/>
        <w:rPr>
          <w:rFonts w:ascii="Times New Roman" w:hAnsi="Times New Roman"/>
          <w:b w:val="1"/>
        </w:rPr>
      </w:pPr>
    </w:p>
    <w:p w14:paraId="4C000000">
      <w:pPr>
        <w:pStyle w:val="Style_7"/>
        <w:widowControl w:val="1"/>
        <w:ind w:firstLine="741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Подраздел 1003 «Социальное обеспечение населения»</w:t>
      </w:r>
    </w:p>
    <w:p w14:paraId="4D000000">
      <w:pPr>
        <w:ind w:firstLine="684" w:left="0"/>
        <w:jc w:val="both"/>
        <w:outlineLvl w:val="3"/>
        <w:rPr>
          <w:sz w:val="28"/>
        </w:rPr>
      </w:pPr>
      <w:r>
        <w:rPr>
          <w:sz w:val="28"/>
        </w:rPr>
        <w:t>По данному подразделу на 2026 год и на плановый период 2027 и 2028 годов предусмотрены средства облас</w:t>
      </w:r>
      <w:r>
        <w:rPr>
          <w:sz w:val="28"/>
        </w:rPr>
        <w:t>т</w:t>
      </w:r>
      <w:r>
        <w:rPr>
          <w:sz w:val="28"/>
        </w:rPr>
        <w:t>ного бюджета Министерству здравоохранения Курской области на уплату страховых взносов на обязательное медицинское страхование неработающего населения Курской области, рассчитанные в соответствии с Федеральным Законом Росси</w:t>
      </w:r>
      <w:r>
        <w:rPr>
          <w:sz w:val="28"/>
        </w:rPr>
        <w:t>й</w:t>
      </w:r>
      <w:r>
        <w:rPr>
          <w:sz w:val="28"/>
        </w:rPr>
        <w:t>ской Федерации от 30.11.2011 №354-ФЗ «О размере и порядке расчета тарифа страхового взноса на обязательное медицинское страхование неработающего насел</w:t>
      </w:r>
      <w:r>
        <w:rPr>
          <w:sz w:val="28"/>
        </w:rPr>
        <w:t>е</w:t>
      </w:r>
      <w:r>
        <w:rPr>
          <w:sz w:val="28"/>
        </w:rPr>
        <w:t>ния» и Федеральным Законом Российской Федерации от 29.11.2010 №326-ФЗ «Об обязательном медицинском страховании в</w:t>
      </w:r>
      <w:r>
        <w:rPr>
          <w:sz w:val="28"/>
        </w:rPr>
        <w:t> </w:t>
      </w:r>
      <w:r>
        <w:rPr>
          <w:sz w:val="28"/>
        </w:rPr>
        <w:t>Ро</w:t>
      </w:r>
      <w:r>
        <w:rPr>
          <w:sz w:val="28"/>
        </w:rPr>
        <w:t>с</w:t>
      </w:r>
      <w:r>
        <w:rPr>
          <w:sz w:val="28"/>
        </w:rPr>
        <w:t>сийской Федерации».</w:t>
      </w:r>
    </w:p>
    <w:p w14:paraId="4E000000">
      <w:pPr>
        <w:ind w:firstLine="684" w:left="0"/>
        <w:jc w:val="both"/>
        <w:rPr>
          <w:sz w:val="28"/>
          <w:highlight w:val="yellow"/>
        </w:rPr>
      </w:pPr>
    </w:p>
    <w:p w14:paraId="4F000000">
      <w:pPr>
        <w:tabs>
          <w:tab w:leader="none" w:pos="7513" w:val="left"/>
        </w:tabs>
        <w:ind w:firstLine="709" w:left="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Подраздел 1004 «Охрана семьи и детства»</w:t>
      </w:r>
    </w:p>
    <w:p w14:paraId="50000000">
      <w:pPr>
        <w:ind w:firstLine="709" w:left="0"/>
        <w:jc w:val="both"/>
        <w:rPr>
          <w:sz w:val="28"/>
        </w:rPr>
      </w:pPr>
      <w:r>
        <w:rPr>
          <w:sz w:val="28"/>
        </w:rPr>
        <w:t>По данному подразделу расходы на 2026 год и на плановый период 2027</w:t>
      </w:r>
      <w:r>
        <w:rPr>
          <w:sz w:val="28"/>
        </w:rPr>
        <w:t xml:space="preserve"> </w:t>
      </w:r>
      <w:r>
        <w:rPr>
          <w:sz w:val="28"/>
        </w:rPr>
        <w:t>и 2028 годов рассчитаны с учетом приостановления:</w:t>
      </w:r>
    </w:p>
    <w:p w14:paraId="51000000">
      <w:pPr>
        <w:ind w:firstLine="708" w:left="0"/>
        <w:jc w:val="both"/>
        <w:rPr>
          <w:sz w:val="28"/>
        </w:rPr>
      </w:pPr>
      <w:r>
        <w:rPr>
          <w:rStyle w:val="Style_9_ch"/>
          <w:color w:val="000000"/>
          <w:sz w:val="28"/>
          <w:u w:val="none"/>
        </w:rPr>
        <w:fldChar w:fldCharType="begin"/>
      </w:r>
      <w:r>
        <w:rPr>
          <w:rStyle w:val="Style_9_ch"/>
          <w:color w:val="000000"/>
          <w:sz w:val="28"/>
          <w:u w:val="none"/>
        </w:rPr>
        <w:instrText>HYPERLINK "consultantplus://offline/ref=6AAFEC82DEFDB794DC1378A5299DC474B06F6B576F5EFA959829F6B7A5BE782B13DBD22D2E9AB8BEEB5509TBNDH"</w:instrText>
      </w:r>
      <w:r>
        <w:rPr>
          <w:rStyle w:val="Style_9_ch"/>
          <w:color w:val="000000"/>
          <w:sz w:val="28"/>
          <w:u w:val="none"/>
        </w:rPr>
        <w:fldChar w:fldCharType="separate"/>
      </w:r>
      <w:r>
        <w:rPr>
          <w:rStyle w:val="Style_9_ch"/>
          <w:color w:val="000000"/>
          <w:sz w:val="28"/>
          <w:u w:val="none"/>
        </w:rPr>
        <w:t>статей 16</w:t>
      </w:r>
      <w:r>
        <w:rPr>
          <w:rStyle w:val="Style_9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, </w:t>
      </w:r>
      <w:r>
        <w:rPr>
          <w:rStyle w:val="Style_9_ch"/>
          <w:color w:val="000000"/>
          <w:sz w:val="28"/>
          <w:u w:val="none"/>
        </w:rPr>
        <w:fldChar w:fldCharType="begin"/>
      </w:r>
      <w:r>
        <w:rPr>
          <w:rStyle w:val="Style_9_ch"/>
          <w:color w:val="000000"/>
          <w:sz w:val="28"/>
          <w:u w:val="none"/>
        </w:rPr>
        <w:instrText>HYPERLINK "consultantplus://offline/ref=6AAFEC82DEFDB794DC1378A5299DC474B06F6B576F5EFA959829F6B7A5BE782B13DBD22D2E9AB8BEEB5508TBN8H"</w:instrText>
      </w:r>
      <w:r>
        <w:rPr>
          <w:rStyle w:val="Style_9_ch"/>
          <w:color w:val="000000"/>
          <w:sz w:val="28"/>
          <w:u w:val="none"/>
        </w:rPr>
        <w:fldChar w:fldCharType="separate"/>
      </w:r>
      <w:r>
        <w:rPr>
          <w:rStyle w:val="Style_9_ch"/>
          <w:color w:val="000000"/>
          <w:sz w:val="28"/>
          <w:u w:val="none"/>
        </w:rPr>
        <w:t>17</w:t>
      </w:r>
      <w:r>
        <w:rPr>
          <w:rStyle w:val="Style_9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(в части слов «компенсация расходов на оплату жилых помещений») Закона Курской области от 10 декабря 2008 года № 108-ЗКО                      «О государственной поддержке семей, имеющих детей, в Курской области» </w:t>
      </w:r>
      <w:r>
        <w:rPr>
          <w:sz w:val="28"/>
        </w:rPr>
        <w:t>(газета «Курск» от 17 декабря 2008 года № 222 - 223; газета «Курская правда»</w:t>
      </w:r>
      <w:r>
        <w:rPr>
          <w:sz w:val="28"/>
        </w:rPr>
        <w:t xml:space="preserve"> </w:t>
      </w:r>
      <w:r>
        <w:rPr>
          <w:sz w:val="28"/>
        </w:rPr>
        <w:t>от 15 июля 2009 года № 154 - 156; от 16 декабря 2010 года № 145 - 149;</w:t>
      </w:r>
      <w:r>
        <w:rPr>
          <w:sz w:val="28"/>
        </w:rPr>
        <w:t xml:space="preserve"> </w:t>
      </w:r>
      <w:r>
        <w:rPr>
          <w:sz w:val="28"/>
        </w:rPr>
        <w:t xml:space="preserve"> от 21 сентября 2010 года № 109; от 12 ноября 2011 года № 135; от 29 ноября 2011 года № 142; от 15 декабря 2011 года № 149; </w:t>
      </w:r>
      <w:r>
        <w:rPr>
          <w:sz w:val="28"/>
        </w:rPr>
        <w:t xml:space="preserve">       </w:t>
      </w:r>
      <w:r>
        <w:rPr>
          <w:sz w:val="28"/>
        </w:rPr>
        <w:t>от 17 декабря 2011 года № 150;</w:t>
      </w:r>
      <w:r>
        <w:rPr>
          <w:sz w:val="28"/>
        </w:rPr>
        <w:t xml:space="preserve"> </w:t>
      </w:r>
      <w:r>
        <w:rPr>
          <w:sz w:val="28"/>
        </w:rPr>
        <w:t xml:space="preserve"> от 17 марта 2012 года № 28; официальный сайт Администрации Курской области http://adm.rkursk.ru от 27 июня 2012 года; от 12 декабря 2012 года; от 24 апреля 2013 года; от 5 декабря 2013 года; от 25 февраля 2014 года; от 26 мая 2014 года;</w:t>
      </w:r>
      <w:r>
        <w:rPr>
          <w:sz w:val="28"/>
        </w:rPr>
        <w:t xml:space="preserve"> </w:t>
      </w:r>
      <w:r>
        <w:rPr>
          <w:sz w:val="28"/>
        </w:rPr>
        <w:t>от 17 июня 2014 года; от 25 сентября 2014 года; от 24 ноября 2014 года;</w:t>
      </w:r>
      <w:r>
        <w:rPr>
          <w:sz w:val="28"/>
        </w:rPr>
        <w:t xml:space="preserve"> </w:t>
      </w:r>
      <w:r>
        <w:rPr>
          <w:sz w:val="28"/>
        </w:rPr>
        <w:t xml:space="preserve">от 11 сентября 2015 года; от 4 декабря 2015 года; от 25 декабря 2015 года; от 27 апреля 2016 года; </w:t>
      </w:r>
      <w:r>
        <w:rPr>
          <w:sz w:val="28"/>
        </w:rPr>
        <w:t xml:space="preserve">    </w:t>
      </w:r>
      <w:r>
        <w:rPr>
          <w:sz w:val="28"/>
        </w:rPr>
        <w:t xml:space="preserve">от 3 ноября 2016 года; от 15 декабря 2016 года; от 27 сентября 2017 года; от 11 декабря 2017 года; от 13 декабря 2017 года; от 29 мая 2018 года; </w:t>
      </w:r>
      <w:r>
        <w:rPr>
          <w:sz w:val="28"/>
        </w:rPr>
        <w:t xml:space="preserve">       </w:t>
      </w:r>
      <w:r>
        <w:rPr>
          <w:sz w:val="28"/>
        </w:rPr>
        <w:t xml:space="preserve">от 14 ноября 2018 года; от 10 декабря 2018 года; от 22 августа 2019 года;                           от 5 ноября 2019 года; от 10 декабря 2019 года; от 12 декабря 2019 года;                          от 19 февраля 2020 года; от 13 апреля 2020 года; от 15 декабря 2020 года;                       от 31 марта 2021 года; от 28 мая 2021 года; от 23 августа 2021 года; </w:t>
      </w:r>
      <w:r>
        <w:rPr>
          <w:sz w:val="28"/>
        </w:rPr>
        <w:t xml:space="preserve">           </w:t>
      </w:r>
      <w:r>
        <w:rPr>
          <w:sz w:val="28"/>
        </w:rPr>
        <w:t xml:space="preserve">от 7 декабря 2021 года; официальный сайт Администрации Курской области </w:t>
      </w:r>
      <w:r>
        <w:rPr>
          <w:rStyle w:val="Style_9_ch"/>
          <w:color w:val="000000"/>
          <w:sz w:val="28"/>
          <w:u w:val="none"/>
        </w:rPr>
        <w:fldChar w:fldCharType="begin"/>
      </w:r>
      <w:r>
        <w:rPr>
          <w:rStyle w:val="Style_9_ch"/>
          <w:color w:val="000000"/>
          <w:sz w:val="28"/>
          <w:u w:val="none"/>
        </w:rPr>
        <w:instrText>HYPERLINK "http://kursk.ru"</w:instrText>
      </w:r>
      <w:r>
        <w:rPr>
          <w:rStyle w:val="Style_9_ch"/>
          <w:color w:val="000000"/>
          <w:sz w:val="28"/>
          <w:u w:val="none"/>
        </w:rPr>
        <w:fldChar w:fldCharType="separate"/>
      </w:r>
      <w:r>
        <w:rPr>
          <w:rStyle w:val="Style_9_ch"/>
          <w:color w:val="000000"/>
          <w:sz w:val="28"/>
          <w:u w:val="none"/>
        </w:rPr>
        <w:t>http://kursk.ru</w:t>
      </w:r>
      <w:r>
        <w:rPr>
          <w:rStyle w:val="Style_9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от 27 апреля 2022 года; Официальный интернет-портал правовой информации (www.pravo.gov.ru) от 10 октября 2022 года; от 23 декабря 2022 года; сетевое издание «Региональное информационное агентство «Курск» </w:t>
      </w:r>
      <w:r>
        <w:rPr>
          <w:rStyle w:val="Style_9_ch"/>
          <w:color w:val="000000"/>
          <w:sz w:val="28"/>
          <w:u w:val="none"/>
        </w:rPr>
        <w:fldChar w:fldCharType="begin"/>
      </w:r>
      <w:r>
        <w:rPr>
          <w:rStyle w:val="Style_9_ch"/>
          <w:color w:val="000000"/>
          <w:sz w:val="28"/>
          <w:u w:val="none"/>
        </w:rPr>
        <w:instrText>HYPERLINK "https://riakursk.ru"</w:instrText>
      </w:r>
      <w:r>
        <w:rPr>
          <w:rStyle w:val="Style_9_ch"/>
          <w:color w:val="000000"/>
          <w:sz w:val="28"/>
          <w:u w:val="none"/>
        </w:rPr>
        <w:fldChar w:fldCharType="separate"/>
      </w:r>
      <w:r>
        <w:rPr>
          <w:rStyle w:val="Style_9_ch"/>
          <w:color w:val="000000"/>
          <w:sz w:val="28"/>
          <w:u w:val="none"/>
        </w:rPr>
        <w:t>https://riakursk.ru</w:t>
      </w:r>
      <w:r>
        <w:rPr>
          <w:rStyle w:val="Style_9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от 15 марта 2023 года; от 4 мая 2023 года, от 14 декабря 2023 года, от 27 апреля 2024 года, от 2 ноября 2024</w:t>
      </w:r>
      <w:r>
        <w:rPr>
          <w:sz w:val="28"/>
        </w:rPr>
        <w:t xml:space="preserve"> года; от 19 декабря 2024 года);</w:t>
      </w:r>
    </w:p>
    <w:p w14:paraId="52000000">
      <w:pPr>
        <w:ind w:firstLine="709" w:left="0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"https://login.consultant.ru/link/?req=doc&amp;base=RLAW417&amp;n=131139&amp;dst=100100"</w:instrText>
      </w:r>
      <w:r>
        <w:rPr>
          <w:sz w:val="28"/>
        </w:rPr>
        <w:fldChar w:fldCharType="separate"/>
      </w:r>
      <w:r>
        <w:rPr>
          <w:sz w:val="28"/>
        </w:rPr>
        <w:t>статьи 7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9 декабря 2013 года № 121-ЗКО «Об образовании в Курской </w:t>
      </w:r>
      <w:r>
        <w:rPr>
          <w:sz w:val="28"/>
        </w:rPr>
        <w:t xml:space="preserve">области» (официальный сайт Администрации Курской области </w:t>
      </w:r>
      <w:r>
        <w:rPr>
          <w:sz w:val="28"/>
        </w:rPr>
        <w:fldChar w:fldCharType="begin"/>
      </w:r>
      <w:r>
        <w:rPr>
          <w:sz w:val="28"/>
        </w:rPr>
        <w:instrText>HYPERLINK "http://adm.rkursk.ru"</w:instrText>
      </w:r>
      <w:r>
        <w:rPr>
          <w:sz w:val="28"/>
        </w:rPr>
        <w:fldChar w:fldCharType="separate"/>
      </w:r>
      <w:r>
        <w:rPr>
          <w:sz w:val="28"/>
        </w:rPr>
        <w:t>http://adm.rkursk.ru</w:t>
      </w:r>
      <w:r>
        <w:rPr>
          <w:sz w:val="28"/>
        </w:rPr>
        <w:fldChar w:fldCharType="end"/>
      </w:r>
      <w:r>
        <w:rPr>
          <w:sz w:val="28"/>
        </w:rPr>
        <w:t xml:space="preserve"> от 10 декабря 2013 года; от 1 декабря 2014 года; от 20 марта 2015 года; от 22 июня 2015 года; от 4 декабря 2015 года; от 24 августа 2016 года; от 15 дек</w:t>
      </w:r>
      <w:r>
        <w:rPr>
          <w:sz w:val="28"/>
        </w:rPr>
        <w:t>абря 2016 года; от </w:t>
      </w:r>
      <w:r>
        <w:rPr>
          <w:sz w:val="28"/>
        </w:rPr>
        <w:t>26 сентября 2017 года; от 30 ноября 2017 года; от 11 декабря 2017 года; от 18 июля 2018 года; от 10 декабря 2018 го</w:t>
      </w:r>
      <w:r>
        <w:rPr>
          <w:sz w:val="28"/>
        </w:rPr>
        <w:t>да; от 27 февраля 2019 года; от </w:t>
      </w:r>
      <w:r>
        <w:rPr>
          <w:sz w:val="28"/>
        </w:rPr>
        <w:t>22 августа 2019 года; от 12 сентября 2019 года; от 25 ноября 2019 года; от 10 декабря 2019 года; от 3 июня 2020 года</w:t>
      </w:r>
      <w:r>
        <w:rPr>
          <w:sz w:val="28"/>
        </w:rPr>
        <w:t>; от 10 ноября 2020 года; от 15 </w:t>
      </w:r>
      <w:r>
        <w:rPr>
          <w:sz w:val="28"/>
        </w:rPr>
        <w:t xml:space="preserve">декабря 2020 года; от 3 ноября 2021 года; от 15 декабря 2021 года; </w:t>
      </w:r>
      <w:r>
        <w:rPr>
          <w:sz w:val="28"/>
        </w:rPr>
        <w:t>«</w:t>
      </w:r>
      <w:r>
        <w:rPr>
          <w:sz w:val="28"/>
        </w:rPr>
        <w:t>Официальный интернет-портал правовой информации</w:t>
      </w:r>
      <w:r>
        <w:rPr>
          <w:sz w:val="28"/>
        </w:rPr>
        <w:t>»</w:t>
      </w:r>
      <w:r>
        <w:rPr>
          <w:sz w:val="28"/>
        </w:rPr>
        <w:t xml:space="preserve"> (</w:t>
      </w:r>
      <w:r>
        <w:rPr>
          <w:sz w:val="28"/>
        </w:rPr>
        <w:fldChar w:fldCharType="begin"/>
      </w:r>
      <w:r>
        <w:rPr>
          <w:sz w:val="28"/>
        </w:rPr>
        <w:instrText>HYPERLINK "file:///C:/Users/Shurova_V/AppData/Local/Microsoft/Windows/INetCache/Content.Outlook/EASE8WLW/www.pravo.gov.ru"</w:instrText>
      </w:r>
      <w:r>
        <w:rPr>
          <w:sz w:val="28"/>
        </w:rPr>
        <w:fldChar w:fldCharType="separate"/>
      </w:r>
      <w:r>
        <w:rPr>
          <w:sz w:val="28"/>
        </w:rPr>
        <w:t>www.pravo.gov.ru</w:t>
      </w:r>
      <w:r>
        <w:rPr>
          <w:sz w:val="28"/>
        </w:rPr>
        <w:fldChar w:fldCharType="end"/>
      </w:r>
      <w:r>
        <w:rPr>
          <w:sz w:val="28"/>
        </w:rPr>
        <w:t xml:space="preserve">) от 11 октября 2022 года; сетевое издание </w:t>
      </w:r>
      <w:r>
        <w:rPr>
          <w:sz w:val="28"/>
        </w:rPr>
        <w:t>«</w:t>
      </w:r>
      <w:r>
        <w:rPr>
          <w:sz w:val="28"/>
        </w:rPr>
        <w:t xml:space="preserve">Региональное информационное агентство </w:t>
      </w:r>
      <w:r>
        <w:rPr>
          <w:sz w:val="28"/>
        </w:rPr>
        <w:t>«</w:t>
      </w:r>
      <w:r>
        <w:rPr>
          <w:sz w:val="28"/>
        </w:rPr>
        <w:t>Курск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"https://riakursk.ru"</w:instrText>
      </w:r>
      <w:r>
        <w:rPr>
          <w:sz w:val="28"/>
        </w:rPr>
        <w:fldChar w:fldCharType="separate"/>
      </w:r>
      <w:r>
        <w:rPr>
          <w:sz w:val="28"/>
        </w:rPr>
        <w:t>https://riakursk.ru</w:t>
      </w:r>
      <w:r>
        <w:rPr>
          <w:sz w:val="28"/>
        </w:rPr>
        <w:fldChar w:fldCharType="end"/>
      </w:r>
      <w:r>
        <w:rPr>
          <w:sz w:val="28"/>
        </w:rPr>
        <w:t xml:space="preserve"> от 23 декабря 2022 года; от 22 августа 2023 года; </w:t>
      </w:r>
      <w:r>
        <w:rPr>
          <w:sz w:val="28"/>
        </w:rPr>
        <w:t xml:space="preserve">                       </w:t>
      </w:r>
      <w:r>
        <w:rPr>
          <w:sz w:val="28"/>
        </w:rPr>
        <w:t>от 20 ноября 2023 года;</w:t>
      </w:r>
      <w:r>
        <w:rPr>
          <w:sz w:val="28"/>
        </w:rPr>
        <w:t xml:space="preserve"> </w:t>
      </w:r>
      <w:r>
        <w:rPr>
          <w:sz w:val="28"/>
        </w:rPr>
        <w:t>от 14 декабря 2023 года; от 16 декабря 2024 года</w:t>
      </w:r>
      <w:r>
        <w:rPr>
          <w:sz w:val="28"/>
        </w:rPr>
        <w:t xml:space="preserve">; сетевое </w:t>
      </w:r>
      <w:r>
        <w:rPr>
          <w:sz w:val="28"/>
        </w:rPr>
        <w:t xml:space="preserve">издание «Интернет-портал правовой информации Курской области» </w:t>
      </w:r>
      <w:r>
        <w:rPr>
          <w:sz w:val="28"/>
        </w:rPr>
        <w:fldChar w:fldCharType="begin"/>
      </w:r>
      <w:r>
        <w:rPr>
          <w:sz w:val="28"/>
        </w:rPr>
        <w:instrText>HYPERLINK "https://kurskpravo.ru"</w:instrText>
      </w:r>
      <w:r>
        <w:rPr>
          <w:sz w:val="28"/>
        </w:rPr>
        <w:fldChar w:fldCharType="separate"/>
      </w:r>
      <w:r>
        <w:rPr>
          <w:sz w:val="28"/>
        </w:rPr>
        <w:t>https://kurskpravo.ru</w:t>
      </w:r>
      <w:r>
        <w:rPr>
          <w:sz w:val="28"/>
        </w:rPr>
        <w:fldChar w:fldCharType="end"/>
      </w:r>
      <w:r>
        <w:rPr>
          <w:sz w:val="28"/>
        </w:rPr>
        <w:t xml:space="preserve"> от 25 апреля 2025 года) в отношении проезда детей в </w:t>
      </w:r>
      <w:r>
        <w:rPr>
          <w:sz w:val="28"/>
        </w:rPr>
        <w:t>возрасте до 16 лет и обучающихся старше</w:t>
      </w:r>
      <w:r>
        <w:rPr>
          <w:sz w:val="28"/>
        </w:rPr>
        <w:t xml:space="preserve"> 16 лет до окончания обучения в образовательных организациях, реализующих основные общеобразовательные программы, за исключением детей из многодетных семей,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образовательным программам основного общего, среднего общего образования и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программам, обучающихся общеобразовательных организаций города Курска в автомобильном транспорте и городском наземном электрическом транспорте о</w:t>
      </w:r>
      <w:r>
        <w:rPr>
          <w:sz w:val="28"/>
        </w:rPr>
        <w:t>бщего пользования города Курска.</w:t>
      </w:r>
    </w:p>
    <w:p w14:paraId="53000000">
      <w:pPr>
        <w:ind w:firstLine="708" w:left="0"/>
        <w:jc w:val="both"/>
        <w:rPr>
          <w:sz w:val="28"/>
        </w:rPr>
      </w:pPr>
    </w:p>
    <w:p w14:paraId="54000000">
      <w:pPr>
        <w:ind w:right="8"/>
        <w:jc w:val="center"/>
        <w:rPr>
          <w:b w:val="1"/>
          <w:sz w:val="28"/>
        </w:rPr>
      </w:pPr>
      <w:r>
        <w:rPr>
          <w:b w:val="1"/>
          <w:sz w:val="28"/>
        </w:rPr>
        <w:t>Раздел 1400 «Межбюджетные трансферты</w:t>
      </w:r>
      <w:r>
        <w:rPr>
          <w:b w:val="1"/>
          <w:sz w:val="28"/>
        </w:rPr>
        <w:t xml:space="preserve"> общего характера</w:t>
      </w:r>
      <w:r>
        <w:rPr>
          <w:b w:val="1"/>
          <w:sz w:val="28"/>
        </w:rPr>
        <w:t xml:space="preserve"> </w:t>
      </w:r>
    </w:p>
    <w:p w14:paraId="55000000">
      <w:pPr>
        <w:ind w:right="8"/>
        <w:jc w:val="center"/>
        <w:rPr>
          <w:b w:val="1"/>
          <w:sz w:val="28"/>
        </w:rPr>
      </w:pPr>
      <w:r>
        <w:rPr>
          <w:b w:val="1"/>
          <w:sz w:val="28"/>
        </w:rPr>
        <w:t>бюджетам субъектов Российской Федера</w:t>
      </w:r>
      <w:r>
        <w:rPr>
          <w:b w:val="1"/>
          <w:sz w:val="28"/>
        </w:rPr>
        <w:t xml:space="preserve">ции </w:t>
      </w:r>
    </w:p>
    <w:p w14:paraId="56000000">
      <w:pPr>
        <w:ind w:right="8"/>
        <w:jc w:val="center"/>
        <w:rPr>
          <w:b w:val="1"/>
          <w:sz w:val="28"/>
        </w:rPr>
      </w:pPr>
      <w:r>
        <w:rPr>
          <w:b w:val="1"/>
          <w:sz w:val="28"/>
        </w:rPr>
        <w:t>и муниципальных обр</w:t>
      </w:r>
      <w:r>
        <w:rPr>
          <w:b w:val="1"/>
          <w:sz w:val="28"/>
        </w:rPr>
        <w:t>а</w:t>
      </w:r>
      <w:r>
        <w:rPr>
          <w:b w:val="1"/>
          <w:sz w:val="28"/>
        </w:rPr>
        <w:t>зований</w:t>
      </w:r>
      <w:r>
        <w:rPr>
          <w:b w:val="1"/>
          <w:sz w:val="28"/>
        </w:rPr>
        <w:t>»</w:t>
      </w:r>
    </w:p>
    <w:p w14:paraId="57000000">
      <w:pPr>
        <w:ind w:right="8"/>
        <w:jc w:val="center"/>
        <w:rPr>
          <w:b w:val="1"/>
          <w:sz w:val="20"/>
        </w:rPr>
      </w:pPr>
    </w:p>
    <w:p w14:paraId="58000000">
      <w:pPr>
        <w:ind w:firstLine="741" w:left="0" w:right="8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Подраздел 1401 «Дотации на выравнивание бюджетной обеспеченности субъектов Российской Федерации и муниципальных образований»</w:t>
      </w:r>
    </w:p>
    <w:p w14:paraId="59000000">
      <w:pPr>
        <w:ind w:firstLine="741" w:left="0" w:right="8"/>
        <w:jc w:val="both"/>
        <w:rPr>
          <w:sz w:val="28"/>
          <w:highlight w:val="yellow"/>
        </w:rPr>
      </w:pPr>
      <w:r>
        <w:rPr>
          <w:sz w:val="28"/>
        </w:rPr>
        <w:t xml:space="preserve">Расходы в виде дотаций на выравнивание бюджетной обеспеченности муниципальных районов (городских округов) планируются с учетом коэффициента роста (снижения) среднего уровня </w:t>
      </w:r>
      <w:r>
        <w:rPr>
          <w:sz w:val="28"/>
        </w:rPr>
        <w:t>налоговых доходов муниципальных районов (городских округов) в расчете на одного жителя на 202</w:t>
      </w:r>
      <w:r>
        <w:rPr>
          <w:sz w:val="28"/>
        </w:rPr>
        <w:t>6</w:t>
      </w:r>
      <w:r>
        <w:rPr>
          <w:sz w:val="28"/>
        </w:rPr>
        <w:t xml:space="preserve"> год – </w:t>
      </w:r>
      <w:r>
        <w:rPr>
          <w:sz w:val="28"/>
        </w:rPr>
        <w:t>0,80338</w:t>
      </w:r>
      <w:r>
        <w:rPr>
          <w:sz w:val="28"/>
        </w:rPr>
        <w:t>, на 202</w:t>
      </w:r>
      <w:r>
        <w:rPr>
          <w:sz w:val="28"/>
        </w:rPr>
        <w:t>7</w:t>
      </w:r>
      <w:r>
        <w:rPr>
          <w:sz w:val="28"/>
        </w:rPr>
        <w:t xml:space="preserve"> год – </w:t>
      </w:r>
      <w:r>
        <w:rPr>
          <w:sz w:val="28"/>
        </w:rPr>
        <w:t>0,74291</w:t>
      </w:r>
      <w:r>
        <w:rPr>
          <w:sz w:val="28"/>
        </w:rPr>
        <w:t>, на 202</w:t>
      </w:r>
      <w:r>
        <w:rPr>
          <w:sz w:val="28"/>
        </w:rPr>
        <w:t>8</w:t>
      </w:r>
      <w:r>
        <w:rPr>
          <w:sz w:val="28"/>
        </w:rPr>
        <w:t xml:space="preserve"> год – </w:t>
      </w:r>
      <w:r>
        <w:rPr>
          <w:sz w:val="28"/>
        </w:rPr>
        <w:t>0,69971</w:t>
      </w:r>
      <w:r>
        <w:rPr>
          <w:sz w:val="28"/>
        </w:rPr>
        <w:t>.</w:t>
      </w:r>
    </w:p>
    <w:p w14:paraId="5A000000">
      <w:pPr>
        <w:ind w:firstLine="741" w:left="0" w:right="8"/>
        <w:jc w:val="both"/>
        <w:rPr>
          <w:sz w:val="28"/>
        </w:rPr>
      </w:pPr>
      <w:r>
        <w:rPr>
          <w:sz w:val="28"/>
        </w:rPr>
        <w:t xml:space="preserve">Коэффициент корректировки критерия выравнивания расчетной бюджетной обеспеченности устанавливается на 2026 год – </w:t>
      </w:r>
      <w:r>
        <w:rPr>
          <w:sz w:val="28"/>
        </w:rPr>
        <w:t>2,1617</w:t>
      </w:r>
      <w:r>
        <w:rPr>
          <w:sz w:val="28"/>
        </w:rPr>
        <w:t xml:space="preserve">, на 2027 год – </w:t>
      </w:r>
      <w:r>
        <w:rPr>
          <w:sz w:val="28"/>
        </w:rPr>
        <w:t>2,0739, на 2028 год – 2,1655</w:t>
      </w:r>
      <w:r>
        <w:rPr>
          <w:sz w:val="28"/>
        </w:rPr>
        <w:t xml:space="preserve">. </w:t>
      </w:r>
    </w:p>
    <w:p w14:paraId="5B000000">
      <w:pPr>
        <w:ind w:firstLine="741" w:left="0" w:right="8"/>
        <w:jc w:val="both"/>
        <w:rPr>
          <w:sz w:val="28"/>
          <w:highlight w:val="yellow"/>
        </w:rPr>
      </w:pPr>
    </w:p>
    <w:p w14:paraId="5C000000">
      <w:pPr>
        <w:ind w:firstLine="741" w:left="0" w:right="8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Подраздел 1403 «Прочие межбюджетные трансферты общего характера»</w:t>
      </w:r>
    </w:p>
    <w:p w14:paraId="5D000000">
      <w:pPr>
        <w:ind w:firstLine="741" w:left="0" w:right="8"/>
        <w:jc w:val="both"/>
        <w:rPr>
          <w:sz w:val="28"/>
        </w:rPr>
      </w:pPr>
      <w:r>
        <w:rPr>
          <w:sz w:val="28"/>
        </w:rPr>
        <w:t xml:space="preserve">По данному подразделу предусматриваются расходы </w:t>
      </w:r>
      <w:r>
        <w:rPr>
          <w:sz w:val="28"/>
        </w:rPr>
        <w:t>н</w:t>
      </w:r>
      <w:r>
        <w:rPr>
          <w:sz w:val="28"/>
        </w:rPr>
        <w:t>а предоставление субвенции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поселений.</w:t>
      </w:r>
    </w:p>
    <w:p w14:paraId="5E000000">
      <w:pPr>
        <w:ind w:firstLine="741" w:left="0" w:right="8"/>
        <w:jc w:val="both"/>
        <w:rPr>
          <w:sz w:val="28"/>
        </w:rPr>
      </w:pPr>
      <w:r>
        <w:rPr>
          <w:sz w:val="28"/>
        </w:rPr>
        <w:t>Индекс роста (снижения) расходов на предоставление субвенций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поселений устанавливается на 202</w:t>
      </w:r>
      <w:r>
        <w:rPr>
          <w:sz w:val="28"/>
        </w:rPr>
        <w:t>6</w:t>
      </w:r>
      <w:r>
        <w:rPr>
          <w:sz w:val="28"/>
        </w:rPr>
        <w:t xml:space="preserve"> – 202</w:t>
      </w:r>
      <w:r>
        <w:rPr>
          <w:sz w:val="28"/>
        </w:rPr>
        <w:t>8</w:t>
      </w:r>
      <w:r>
        <w:rPr>
          <w:sz w:val="28"/>
        </w:rPr>
        <w:t xml:space="preserve"> годы в размере </w:t>
      </w:r>
      <w:r>
        <w:rPr>
          <w:sz w:val="28"/>
        </w:rPr>
        <w:t>1,689568</w:t>
      </w:r>
      <w:r>
        <w:rPr>
          <w:sz w:val="28"/>
        </w:rPr>
        <w:t>.</w:t>
      </w:r>
    </w:p>
    <w:p w14:paraId="5F000000">
      <w:pPr>
        <w:ind w:firstLine="741" w:left="0" w:right="8"/>
        <w:jc w:val="both"/>
        <w:rPr>
          <w:sz w:val="28"/>
        </w:rPr>
      </w:pPr>
      <w:r>
        <w:rPr>
          <w:sz w:val="28"/>
        </w:rPr>
        <w:t>Кроме того, с целью достижения критериев выравнивания финансовых возможностей городских и сельских поселений при расчете объема дотации на выравнивание бюджетной обеспеченности городских поселений применяется коэф</w:t>
      </w:r>
      <w:r>
        <w:rPr>
          <w:sz w:val="28"/>
        </w:rPr>
        <w:t xml:space="preserve">фициент роста (снижения) равный </w:t>
      </w:r>
      <w:r>
        <w:rPr>
          <w:sz w:val="28"/>
        </w:rPr>
        <w:t>0,361</w:t>
      </w:r>
      <w:r>
        <w:rPr>
          <w:sz w:val="28"/>
        </w:rPr>
        <w:t>, для сельских поселений – 0,</w:t>
      </w:r>
      <w:r>
        <w:rPr>
          <w:sz w:val="28"/>
        </w:rPr>
        <w:t>386</w:t>
      </w:r>
      <w:r>
        <w:rPr>
          <w:sz w:val="28"/>
        </w:rPr>
        <w:t>.</w:t>
      </w:r>
    </w:p>
    <w:sectPr>
      <w:headerReference r:id="rId1" w:type="default"/>
      <w:pgSz w:h="16838" w:orient="portrait" w:w="11906"/>
      <w:pgMar w:bottom="1134" w:footer="709" w:gutter="0" w:header="709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44"/>
      </w:pPr>
    </w:lvl>
    <w:lvl w:ilvl="1">
      <w:start w:val="1"/>
      <w:numFmt w:val="lowerLetter"/>
      <w:lvlText w:val="%2."/>
      <w:lvlJc w:val="left"/>
      <w:pPr>
        <w:ind w:hanging="360" w:left="1764"/>
      </w:pPr>
    </w:lvl>
    <w:lvl w:ilvl="2">
      <w:start w:val="1"/>
      <w:numFmt w:val="lowerRoman"/>
      <w:lvlText w:val="%3."/>
      <w:lvlJc w:val="right"/>
      <w:pPr>
        <w:ind w:hanging="180" w:left="2484"/>
      </w:pPr>
    </w:lvl>
    <w:lvl w:ilvl="3">
      <w:start w:val="1"/>
      <w:numFmt w:val="decimal"/>
      <w:lvlText w:val="%4."/>
      <w:lvlJc w:val="left"/>
      <w:pPr>
        <w:ind w:hanging="360" w:left="3204"/>
      </w:pPr>
    </w:lvl>
    <w:lvl w:ilvl="4">
      <w:start w:val="1"/>
      <w:numFmt w:val="lowerLetter"/>
      <w:lvlText w:val="%5."/>
      <w:lvlJc w:val="left"/>
      <w:pPr>
        <w:ind w:hanging="360" w:left="3924"/>
      </w:pPr>
    </w:lvl>
    <w:lvl w:ilvl="5">
      <w:start w:val="1"/>
      <w:numFmt w:val="lowerRoman"/>
      <w:lvlText w:val="%6."/>
      <w:lvlJc w:val="right"/>
      <w:pPr>
        <w:ind w:hanging="180" w:left="4644"/>
      </w:pPr>
    </w:lvl>
    <w:lvl w:ilvl="6">
      <w:start w:val="1"/>
      <w:numFmt w:val="decimal"/>
      <w:lvlText w:val="%7."/>
      <w:lvlJc w:val="left"/>
      <w:pPr>
        <w:ind w:hanging="360" w:left="5364"/>
      </w:pPr>
    </w:lvl>
    <w:lvl w:ilvl="7">
      <w:start w:val="1"/>
      <w:numFmt w:val="lowerLetter"/>
      <w:lvlText w:val="%8."/>
      <w:lvlJc w:val="left"/>
      <w:pPr>
        <w:ind w:hanging="360" w:left="6084"/>
      </w:pPr>
    </w:lvl>
    <w:lvl w:ilvl="8">
      <w:start w:val="1"/>
      <w:numFmt w:val="lowerRoman"/>
      <w:lvlText w:val="%9."/>
      <w:lvlJc w:val="right"/>
      <w:pPr>
        <w:ind w:hanging="180" w:left="680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10" w:type="paragraph">
    <w:name w:val="Ос5ebdовной текст 2"/>
    <w:basedOn w:val="Style_4"/>
    <w:link w:val="Style_10_ch"/>
    <w:pPr>
      <w:widowControl w:val="0"/>
      <w:ind w:firstLine="851" w:left="0"/>
      <w:jc w:val="both"/>
    </w:pPr>
    <w:rPr>
      <w:sz w:val="28"/>
    </w:rPr>
  </w:style>
  <w:style w:styleId="Style_10_ch" w:type="character">
    <w:name w:val="Ос5ebdовной текст 2"/>
    <w:basedOn w:val="Style_4_ch"/>
    <w:link w:val="Style_10"/>
    <w:rPr>
      <w:sz w:val="28"/>
    </w:rPr>
  </w:style>
  <w:style w:styleId="Style_11" w:type="paragraph">
    <w:name w:val="toc 2"/>
    <w:next w:val="Style_4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Body Text Indent 3"/>
    <w:basedOn w:val="Style_4"/>
    <w:link w:val="Style_12_ch"/>
    <w:pPr>
      <w:ind w:firstLine="851" w:left="0"/>
      <w:jc w:val="both"/>
    </w:pPr>
    <w:rPr>
      <w:sz w:val="28"/>
    </w:rPr>
  </w:style>
  <w:style w:styleId="Style_12_ch" w:type="character">
    <w:name w:val="Body Text Indent 3"/>
    <w:basedOn w:val="Style_4_ch"/>
    <w:link w:val="Style_12"/>
    <w:rPr>
      <w:sz w:val="28"/>
    </w:rPr>
  </w:style>
  <w:style w:styleId="Style_13" w:type="paragraph">
    <w:name w:val="toc 4"/>
    <w:next w:val="Style_4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heading 7"/>
    <w:basedOn w:val="Style_4"/>
    <w:next w:val="Style_4"/>
    <w:link w:val="Style_14_ch"/>
    <w:uiPriority w:val="9"/>
    <w:qFormat/>
    <w:pPr>
      <w:keepNext w:val="1"/>
      <w:ind w:firstLine="851" w:left="0"/>
      <w:outlineLvl w:val="6"/>
    </w:pPr>
    <w:rPr>
      <w:b w:val="1"/>
      <w:sz w:val="28"/>
    </w:rPr>
  </w:style>
  <w:style w:styleId="Style_14_ch" w:type="character">
    <w:name w:val="heading 7"/>
    <w:basedOn w:val="Style_4_ch"/>
    <w:link w:val="Style_14"/>
    <w:rPr>
      <w:b w:val="1"/>
      <w:sz w:val="28"/>
    </w:rPr>
  </w:style>
  <w:style w:styleId="Style_15" w:type="paragraph">
    <w:name w:val="No Spacing"/>
    <w:link w:val="Style_15_ch"/>
    <w:rPr>
      <w:rFonts w:ascii="Calibri" w:hAnsi="Calibri"/>
      <w:sz w:val="22"/>
    </w:rPr>
  </w:style>
  <w:style w:styleId="Style_15_ch" w:type="character">
    <w:name w:val="No Spacing"/>
    <w:link w:val="Style_15"/>
    <w:rPr>
      <w:rFonts w:ascii="Calibri" w:hAnsi="Calibri"/>
      <w:sz w:val="22"/>
    </w:rPr>
  </w:style>
  <w:style w:styleId="Style_16" w:type="paragraph">
    <w:name w:val="toc 6"/>
    <w:next w:val="Style_4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4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Style_4"/>
    <w:link w:val="Style_18_ch"/>
    <w:pPr>
      <w:spacing w:after="160" w:line="240" w:lineRule="exact"/>
      <w:ind/>
    </w:pPr>
    <w:rPr>
      <w:rFonts w:ascii="Arial" w:hAnsi="Arial"/>
    </w:rPr>
  </w:style>
  <w:style w:styleId="Style_18_ch" w:type="characte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Style_4_ch"/>
    <w:link w:val="Style_18"/>
    <w:rPr>
      <w:rFonts w:ascii="Arial" w:hAnsi="Arial"/>
    </w:rPr>
  </w:style>
  <w:style w:styleId="Style_19" w:type="paragraph">
    <w:name w:val="Основной текст с отступом Знак"/>
    <w:basedOn w:val="Style_20"/>
    <w:link w:val="Style_19_ch"/>
    <w:rPr>
      <w:sz w:val="28"/>
    </w:rPr>
  </w:style>
  <w:style w:styleId="Style_19_ch" w:type="character">
    <w:name w:val="Основной текст с отступом Знак"/>
    <w:basedOn w:val="Style_20_ch"/>
    <w:link w:val="Style_19"/>
    <w:rPr>
      <w:sz w:val="28"/>
    </w:rPr>
  </w:style>
  <w:style w:styleId="Style_21" w:type="paragraph">
    <w:name w:val="Block Text"/>
    <w:basedOn w:val="Style_4"/>
    <w:link w:val="Style_21_ch"/>
    <w:pPr>
      <w:ind w:firstLine="0" w:left="851" w:right="566"/>
      <w:jc w:val="both"/>
    </w:pPr>
    <w:rPr>
      <w:b w:val="1"/>
      <w:sz w:val="28"/>
      <w:u w:val="single"/>
    </w:rPr>
  </w:style>
  <w:style w:styleId="Style_21_ch" w:type="character">
    <w:name w:val="Block Text"/>
    <w:basedOn w:val="Style_4_ch"/>
    <w:link w:val="Style_21"/>
    <w:rPr>
      <w:b w:val="1"/>
      <w:sz w:val="28"/>
      <w:u w:val="single"/>
    </w:rPr>
  </w:style>
  <w:style w:styleId="Style_22" w:type="paragraph">
    <w:name w:val="heading 3"/>
    <w:basedOn w:val="Style_4"/>
    <w:next w:val="Style_4"/>
    <w:link w:val="Style_22_ch"/>
    <w:uiPriority w:val="9"/>
    <w:qFormat/>
    <w:pPr>
      <w:keepNext w:val="1"/>
      <w:ind/>
      <w:jc w:val="center"/>
      <w:outlineLvl w:val="2"/>
    </w:pPr>
    <w:rPr>
      <w:b w:val="1"/>
      <w:sz w:val="26"/>
    </w:rPr>
  </w:style>
  <w:style w:styleId="Style_22_ch" w:type="character">
    <w:name w:val="heading 3"/>
    <w:basedOn w:val="Style_4_ch"/>
    <w:link w:val="Style_22"/>
    <w:rPr>
      <w:b w:val="1"/>
      <w:sz w:val="26"/>
    </w:rPr>
  </w:style>
  <w:style w:styleId="Style_23" w:type="paragraph">
    <w:name w:val="Style 12"/>
    <w:basedOn w:val="Style_4"/>
    <w:link w:val="Style_23_ch"/>
    <w:pPr>
      <w:widowControl w:val="0"/>
      <w:spacing w:after="180" w:before="1440" w:line="367" w:lineRule="exact"/>
      <w:ind w:hanging="360" w:left="360"/>
      <w:jc w:val="both"/>
    </w:pPr>
    <w:rPr>
      <w:sz w:val="26"/>
    </w:rPr>
  </w:style>
  <w:style w:styleId="Style_23_ch" w:type="character">
    <w:name w:val="Style 12"/>
    <w:basedOn w:val="Style_4_ch"/>
    <w:link w:val="Style_23"/>
    <w:rPr>
      <w:sz w:val="26"/>
    </w:rPr>
  </w:style>
  <w:style w:styleId="Style_24" w:type="paragraph">
    <w:name w:val=" Знак Знак9"/>
    <w:basedOn w:val="Style_20"/>
    <w:link w:val="Style_24_ch"/>
    <w:rPr>
      <w:sz w:val="28"/>
    </w:rPr>
  </w:style>
  <w:style w:styleId="Style_24_ch" w:type="character">
    <w:name w:val=" Знак Знак9"/>
    <w:basedOn w:val="Style_20_ch"/>
    <w:link w:val="Style_24"/>
    <w:rPr>
      <w:sz w:val="28"/>
    </w:rPr>
  </w:style>
  <w:style w:styleId="Style_25" w:type="paragraph">
    <w:name w:val="Знак Знак"/>
    <w:basedOn w:val="Style_20"/>
    <w:link w:val="Style_25_ch"/>
    <w:rPr>
      <w:sz w:val="28"/>
    </w:rPr>
  </w:style>
  <w:style w:styleId="Style_25_ch" w:type="character">
    <w:name w:val="Знак Знак"/>
    <w:basedOn w:val="Style_20_ch"/>
    <w:link w:val="Style_25"/>
    <w:rPr>
      <w:sz w:val="28"/>
    </w:rPr>
  </w:style>
  <w:style w:styleId="Style_26" w:type="paragraph">
    <w:name w:val="закон"/>
    <w:link w:val="Style_26_ch"/>
    <w:pPr>
      <w:widowControl w:val="0"/>
      <w:spacing w:line="220" w:lineRule="exact"/>
      <w:ind/>
      <w:jc w:val="center"/>
    </w:pPr>
    <w:rPr>
      <w:sz w:val="24"/>
    </w:rPr>
  </w:style>
  <w:style w:styleId="Style_26_ch" w:type="character">
    <w:name w:val="закон"/>
    <w:link w:val="Style_26"/>
    <w:rPr>
      <w:sz w:val="24"/>
    </w:rPr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heading 9"/>
    <w:basedOn w:val="Style_4"/>
    <w:next w:val="Style_4"/>
    <w:link w:val="Style_28_ch"/>
    <w:uiPriority w:val="9"/>
    <w:qFormat/>
    <w:pPr>
      <w:keepNext w:val="1"/>
      <w:spacing w:after="444"/>
      <w:ind w:firstLine="0" w:left="550"/>
      <w:outlineLvl w:val="8"/>
    </w:pPr>
    <w:rPr>
      <w:b w:val="1"/>
      <w:sz w:val="24"/>
    </w:rPr>
  </w:style>
  <w:style w:styleId="Style_28_ch" w:type="character">
    <w:name w:val="heading 9"/>
    <w:basedOn w:val="Style_4_ch"/>
    <w:link w:val="Style_28"/>
    <w:rPr>
      <w:b w:val="1"/>
      <w:sz w:val="24"/>
    </w:rPr>
  </w:style>
  <w:style w:styleId="Style_29" w:type="paragraph">
    <w:name w:val="Основной шрифт"/>
    <w:link w:val="Style_29_ch"/>
  </w:style>
  <w:style w:styleId="Style_29_ch" w:type="character">
    <w:name w:val="Основной шрифт"/>
    <w:link w:val="Style_29"/>
  </w:style>
  <w:style w:styleId="Style_30" w:type="paragraph">
    <w:name w:val="conspluscell"/>
    <w:basedOn w:val="Style_4"/>
    <w:link w:val="Style_30_ch"/>
    <w:pPr>
      <w:spacing w:afterAutospacing="on" w:beforeAutospacing="on"/>
      <w:ind w:firstLine="0" w:left="100" w:right="100"/>
      <w:jc w:val="both"/>
    </w:pPr>
    <w:rPr>
      <w:rFonts w:ascii="Times New Roman" w:hAnsi="Times New Roman"/>
      <w:color w:val="000000"/>
    </w:rPr>
  </w:style>
  <w:style w:styleId="Style_30_ch" w:type="character">
    <w:name w:val="conspluscell"/>
    <w:basedOn w:val="Style_4_ch"/>
    <w:link w:val="Style_30"/>
    <w:rPr>
      <w:rFonts w:ascii="Times New Roman" w:hAnsi="Times New Roman"/>
      <w:color w:val="000000"/>
    </w:rPr>
  </w:style>
  <w:style w:styleId="Style_31" w:type="paragraph">
    <w:name w:val=" Знак Знак6"/>
    <w:basedOn w:val="Style_20"/>
    <w:link w:val="Style_31_ch"/>
    <w:rPr>
      <w:rFonts w:ascii="Arial" w:hAnsi="Arial"/>
      <w:color w:val="663333"/>
      <w:sz w:val="28"/>
    </w:rPr>
  </w:style>
  <w:style w:styleId="Style_31_ch" w:type="character">
    <w:name w:val=" Знак Знак6"/>
    <w:basedOn w:val="Style_20_ch"/>
    <w:link w:val="Style_31"/>
    <w:rPr>
      <w:rFonts w:ascii="Arial" w:hAnsi="Arial"/>
      <w:color w:val="663333"/>
      <w:sz w:val="28"/>
    </w:rPr>
  </w:style>
  <w:style w:styleId="Style_1" w:type="paragraph">
    <w:name w:val="page number"/>
    <w:basedOn w:val="Style_20"/>
    <w:link w:val="Style_1_ch"/>
  </w:style>
  <w:style w:styleId="Style_1_ch" w:type="character">
    <w:name w:val="page number"/>
    <w:basedOn w:val="Style_20_ch"/>
    <w:link w:val="Style_1"/>
  </w:style>
  <w:style w:styleId="Style_8" w:type="paragraph">
    <w:name w:val="ConsPlusNormal"/>
    <w:link w:val="Style_8_ch"/>
    <w:pPr>
      <w:ind w:firstLine="720" w:left="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32" w:type="paragraph">
    <w:name w:val="toc 3"/>
    <w:next w:val="Style_4"/>
    <w:link w:val="Style_3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 Знак Знак8"/>
    <w:basedOn w:val="Style_20"/>
    <w:link w:val="Style_33_ch"/>
    <w:rPr>
      <w:b w:val="1"/>
      <w:sz w:val="28"/>
    </w:rPr>
  </w:style>
  <w:style w:styleId="Style_33_ch" w:type="character">
    <w:name w:val=" Знак Знак8"/>
    <w:basedOn w:val="Style_20_ch"/>
    <w:link w:val="Style_33"/>
    <w:rPr>
      <w:b w:val="1"/>
      <w:sz w:val="28"/>
    </w:rPr>
  </w:style>
  <w:style w:styleId="Style_34" w:type="paragraph">
    <w:name w:val="Знак"/>
    <w:basedOn w:val="Style_4"/>
    <w:link w:val="Style_34_ch"/>
    <w:pPr>
      <w:spacing w:afterAutospacing="on" w:beforeAutospacing="on"/>
      <w:ind/>
    </w:pPr>
    <w:rPr>
      <w:rFonts w:ascii="Tahoma" w:hAnsi="Tahoma"/>
    </w:rPr>
  </w:style>
  <w:style w:styleId="Style_34_ch" w:type="character">
    <w:name w:val="Знак"/>
    <w:basedOn w:val="Style_4_ch"/>
    <w:link w:val="Style_34"/>
    <w:rPr>
      <w:rFonts w:ascii="Tahoma" w:hAnsi="Tahoma"/>
    </w:rPr>
  </w:style>
  <w:style w:styleId="Style_6" w:type="paragraph">
    <w:name w:val="Body Text"/>
    <w:basedOn w:val="Style_4"/>
    <w:link w:val="Style_6_ch"/>
    <w:pPr>
      <w:ind/>
      <w:jc w:val="both"/>
    </w:pPr>
    <w:rPr>
      <w:sz w:val="28"/>
    </w:rPr>
  </w:style>
  <w:style w:styleId="Style_6_ch" w:type="character">
    <w:name w:val="Body Text"/>
    <w:basedOn w:val="Style_4_ch"/>
    <w:link w:val="Style_6"/>
    <w:rPr>
      <w:sz w:val="28"/>
    </w:rPr>
  </w:style>
  <w:style w:styleId="Style_35" w:type="paragraph">
    <w:name w:val="heading 5"/>
    <w:basedOn w:val="Style_4"/>
    <w:next w:val="Style_4"/>
    <w:link w:val="Style_35_ch"/>
    <w:uiPriority w:val="9"/>
    <w:qFormat/>
    <w:pPr>
      <w:keepNext w:val="1"/>
      <w:ind/>
      <w:jc w:val="both"/>
      <w:outlineLvl w:val="4"/>
    </w:pPr>
    <w:rPr>
      <w:b w:val="1"/>
      <w:i w:val="1"/>
      <w:sz w:val="26"/>
    </w:rPr>
  </w:style>
  <w:style w:styleId="Style_35_ch" w:type="character">
    <w:name w:val="heading 5"/>
    <w:basedOn w:val="Style_4_ch"/>
    <w:link w:val="Style_35"/>
    <w:rPr>
      <w:b w:val="1"/>
      <w:i w:val="1"/>
      <w:sz w:val="26"/>
    </w:rPr>
  </w:style>
  <w:style w:styleId="Style_36" w:type="paragraph">
    <w:name w:val="ConsNonformat"/>
    <w:link w:val="Style_36_ch"/>
    <w:pPr>
      <w:widowControl w:val="0"/>
      <w:ind/>
    </w:pPr>
    <w:rPr>
      <w:rFonts w:ascii="Courier New" w:hAnsi="Courier New"/>
    </w:rPr>
  </w:style>
  <w:style w:styleId="Style_36_ch" w:type="character">
    <w:name w:val="ConsNonformat"/>
    <w:link w:val="Style_36"/>
    <w:rPr>
      <w:rFonts w:ascii="Courier New" w:hAnsi="Courier New"/>
    </w:rPr>
  </w:style>
  <w:style w:styleId="Style_37" w:type="paragraph">
    <w:name w:val="heading 1"/>
    <w:basedOn w:val="Style_4"/>
    <w:next w:val="Style_4"/>
    <w:link w:val="Style_37_ch"/>
    <w:uiPriority w:val="9"/>
    <w:qFormat/>
    <w:pPr>
      <w:keepNext w:val="1"/>
      <w:ind w:firstLine="851" w:left="0"/>
      <w:jc w:val="both"/>
      <w:outlineLvl w:val="0"/>
    </w:pPr>
    <w:rPr>
      <w:b w:val="1"/>
      <w:sz w:val="32"/>
    </w:rPr>
  </w:style>
  <w:style w:styleId="Style_37_ch" w:type="character">
    <w:name w:val="heading 1"/>
    <w:basedOn w:val="Style_4_ch"/>
    <w:link w:val="Style_37"/>
    <w:rPr>
      <w:b w:val="1"/>
      <w:sz w:val="32"/>
    </w:rPr>
  </w:style>
  <w:style w:styleId="Style_38" w:type="paragraph">
    <w:name w:val="List Paragraph"/>
    <w:basedOn w:val="Style_4"/>
    <w:link w:val="Style_38_ch"/>
    <w:pPr>
      <w:spacing w:after="200" w:line="276" w:lineRule="auto"/>
      <w:ind w:firstLine="0" w:left="720"/>
      <w:contextualSpacing w:val="1"/>
    </w:pPr>
    <w:rPr>
      <w:rFonts w:ascii="Calibri" w:hAnsi="Calibri"/>
      <w:color w:val="000000"/>
      <w:sz w:val="22"/>
    </w:rPr>
  </w:style>
  <w:style w:styleId="Style_38_ch" w:type="character">
    <w:name w:val="List Paragraph"/>
    <w:basedOn w:val="Style_4_ch"/>
    <w:link w:val="Style_38"/>
    <w:rPr>
      <w:rFonts w:ascii="Calibri" w:hAnsi="Calibri"/>
      <w:color w:val="000000"/>
      <w:sz w:val="22"/>
    </w:rPr>
  </w:style>
  <w:style w:styleId="Style_39" w:type="paragraph">
    <w:name w:val="ConsPlusTitle"/>
    <w:link w:val="Style_39_ch"/>
    <w:rPr>
      <w:rFonts w:ascii="Arial" w:hAnsi="Arial"/>
      <w:b w:val="1"/>
    </w:rPr>
  </w:style>
  <w:style w:styleId="Style_39_ch" w:type="character">
    <w:name w:val="ConsPlusTitle"/>
    <w:link w:val="Style_39"/>
    <w:rPr>
      <w:rFonts w:ascii="Arial" w:hAnsi="Arial"/>
      <w:b w:val="1"/>
    </w:rPr>
  </w:style>
  <w:style w:styleId="Style_40" w:type="paragraph">
    <w:name w:val="Body Text First Indent"/>
    <w:basedOn w:val="Style_6"/>
    <w:link w:val="Style_40_ch"/>
    <w:pPr>
      <w:spacing w:after="120"/>
      <w:ind w:firstLine="210" w:left="0"/>
      <w:jc w:val="left"/>
    </w:pPr>
    <w:rPr>
      <w:sz w:val="24"/>
    </w:rPr>
  </w:style>
  <w:style w:styleId="Style_40_ch" w:type="character">
    <w:name w:val="Body Text First Indent"/>
    <w:basedOn w:val="Style_6_ch"/>
    <w:link w:val="Style_40"/>
    <w:rPr>
      <w:sz w:val="24"/>
    </w:rPr>
  </w:style>
  <w:style w:styleId="Style_41" w:type="paragraph">
    <w:name w:val="Plain Text"/>
    <w:basedOn w:val="Style_4"/>
    <w:link w:val="Style_41_ch"/>
    <w:rPr>
      <w:rFonts w:ascii="Courier New" w:hAnsi="Courier New"/>
    </w:rPr>
  </w:style>
  <w:style w:styleId="Style_41_ch" w:type="character">
    <w:name w:val="Plain Text"/>
    <w:basedOn w:val="Style_4_ch"/>
    <w:link w:val="Style_41"/>
    <w:rPr>
      <w:rFonts w:ascii="Courier New" w:hAnsi="Courier New"/>
    </w:rPr>
  </w:style>
  <w:style w:styleId="Style_9" w:type="paragraph">
    <w:name w:val="Hyperlink"/>
    <w:basedOn w:val="Style_20"/>
    <w:link w:val="Style_9_ch"/>
    <w:rPr>
      <w:color w:val="0000FF"/>
      <w:u w:val="single"/>
    </w:rPr>
  </w:style>
  <w:style w:styleId="Style_9_ch" w:type="character">
    <w:name w:val="Hyperlink"/>
    <w:basedOn w:val="Style_20_ch"/>
    <w:link w:val="Style_9"/>
    <w:rPr>
      <w:color w:val="0000FF"/>
      <w:u w:val="singl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heading 8"/>
    <w:basedOn w:val="Style_4"/>
    <w:next w:val="Style_4"/>
    <w:link w:val="Style_43_ch"/>
    <w:uiPriority w:val="9"/>
    <w:qFormat/>
    <w:pPr>
      <w:keepNext w:val="1"/>
      <w:ind/>
      <w:outlineLvl w:val="7"/>
    </w:pPr>
    <w:rPr>
      <w:sz w:val="28"/>
      <w:u w:val="single"/>
    </w:rPr>
  </w:style>
  <w:style w:styleId="Style_43_ch" w:type="character">
    <w:name w:val="heading 8"/>
    <w:basedOn w:val="Style_4_ch"/>
    <w:link w:val="Style_43"/>
    <w:rPr>
      <w:sz w:val="28"/>
      <w:u w:val="single"/>
    </w:rPr>
  </w:style>
  <w:style w:styleId="Style_44" w:type="paragraph">
    <w:name w:val="toc 1"/>
    <w:next w:val="Style_4"/>
    <w:link w:val="Style_4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 Знак Знак22"/>
    <w:basedOn w:val="Style_20"/>
    <w:link w:val="Style_46_ch"/>
    <w:rPr>
      <w:rFonts w:ascii="Arial" w:hAnsi="Arial"/>
      <w:b w:val="1"/>
      <w:i w:val="1"/>
      <w:color w:val="663333"/>
      <w:sz w:val="28"/>
    </w:rPr>
  </w:style>
  <w:style w:styleId="Style_46_ch" w:type="character">
    <w:name w:val=" Знак Знак22"/>
    <w:basedOn w:val="Style_20_ch"/>
    <w:link w:val="Style_46"/>
    <w:rPr>
      <w:rFonts w:ascii="Arial" w:hAnsi="Arial"/>
      <w:b w:val="1"/>
      <w:i w:val="1"/>
      <w:color w:val="663333"/>
      <w:sz w:val="28"/>
    </w:rPr>
  </w:style>
  <w:style w:styleId="Style_47" w:type="paragraph">
    <w:name w:val="ConsNormal + 14 пт"/>
    <w:basedOn w:val="Style_7"/>
    <w:link w:val="Style_47_ch"/>
    <w:pPr>
      <w:widowControl w:val="1"/>
      <w:ind w:firstLine="709" w:left="0"/>
      <w:jc w:val="both"/>
    </w:pPr>
    <w:rPr>
      <w:color w:val="000000"/>
      <w:spacing w:val="-15"/>
      <w:sz w:val="28"/>
    </w:rPr>
  </w:style>
  <w:style w:styleId="Style_47_ch" w:type="character">
    <w:name w:val="ConsNormal + 14 пт"/>
    <w:basedOn w:val="Style_7_ch"/>
    <w:link w:val="Style_47"/>
    <w:rPr>
      <w:color w:val="000000"/>
      <w:spacing w:val="-15"/>
      <w:sz w:val="28"/>
    </w:rPr>
  </w:style>
  <w:style w:styleId="Style_48" w:type="paragraph">
    <w:name w:val="toc 9"/>
    <w:next w:val="Style_4"/>
    <w:link w:val="Style_4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Title Char"/>
    <w:basedOn w:val="Style_20"/>
    <w:link w:val="Style_49_ch"/>
    <w:rPr>
      <w:b w:val="1"/>
      <w:sz w:val="28"/>
    </w:rPr>
  </w:style>
  <w:style w:styleId="Style_49_ch" w:type="character">
    <w:name w:val="Title Char"/>
    <w:basedOn w:val="Style_20_ch"/>
    <w:link w:val="Style_49"/>
    <w:rPr>
      <w:b w:val="1"/>
      <w:sz w:val="28"/>
    </w:rPr>
  </w:style>
  <w:style w:styleId="Style_50" w:type="paragraph">
    <w:name w:val=" Знак Знак4"/>
    <w:basedOn w:val="Style_20"/>
    <w:link w:val="Style_50_ch"/>
    <w:rPr>
      <w:sz w:val="28"/>
    </w:rPr>
  </w:style>
  <w:style w:styleId="Style_50_ch" w:type="character">
    <w:name w:val=" Знак Знак4"/>
    <w:basedOn w:val="Style_20_ch"/>
    <w:link w:val="Style_50"/>
    <w:rPr>
      <w:sz w:val="28"/>
    </w:rPr>
  </w:style>
  <w:style w:styleId="Style_51" w:type="paragraph">
    <w:name w:val="consplusnormal"/>
    <w:basedOn w:val="Style_4"/>
    <w:link w:val="Style_51_ch"/>
    <w:pPr>
      <w:spacing w:after="240" w:beforeAutospacing="on"/>
      <w:ind/>
    </w:pPr>
    <w:rPr>
      <w:sz w:val="22"/>
    </w:rPr>
  </w:style>
  <w:style w:styleId="Style_51_ch" w:type="character">
    <w:name w:val="consplusnormal"/>
    <w:basedOn w:val="Style_4_ch"/>
    <w:link w:val="Style_51"/>
    <w:rPr>
      <w:sz w:val="22"/>
    </w:rPr>
  </w:style>
  <w:style w:styleId="Style_52" w:type="paragraph">
    <w:name w:val="FollowedHyperlink"/>
    <w:basedOn w:val="Style_20"/>
    <w:link w:val="Style_52_ch"/>
    <w:rPr>
      <w:color w:val="800080"/>
      <w:u w:val="single"/>
    </w:rPr>
  </w:style>
  <w:style w:styleId="Style_52_ch" w:type="character">
    <w:name w:val="FollowedHyperlink"/>
    <w:basedOn w:val="Style_20_ch"/>
    <w:link w:val="Style_52"/>
    <w:rPr>
      <w:color w:val="800080"/>
      <w:u w:val="single"/>
    </w:rPr>
  </w:style>
  <w:style w:styleId="Style_53" w:type="paragraph">
    <w:name w:val="toc 8"/>
    <w:next w:val="Style_4"/>
    <w:link w:val="Style_5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3_ch" w:type="character">
    <w:name w:val="toc 8"/>
    <w:link w:val="Style_53"/>
    <w:rPr>
      <w:rFonts w:ascii="XO Thames" w:hAnsi="XO Thames"/>
      <w:sz w:val="28"/>
    </w:rPr>
  </w:style>
  <w:style w:styleId="Style_54" w:type="paragraph">
    <w:name w:val="Основной текст с отступом.Нумерованный список !!.Надин стиль"/>
    <w:basedOn w:val="Style_4"/>
    <w:link w:val="Style_54_ch"/>
    <w:pPr>
      <w:tabs>
        <w:tab w:leader="none" w:pos="8647" w:val="left"/>
      </w:tabs>
      <w:ind w:firstLine="567" w:left="0" w:right="139"/>
      <w:jc w:val="both"/>
    </w:pPr>
    <w:rPr>
      <w:sz w:val="28"/>
    </w:rPr>
  </w:style>
  <w:style w:styleId="Style_54_ch" w:type="character">
    <w:name w:val="Основной текст с отступом.Нумерованный список !!.Надин стиль"/>
    <w:basedOn w:val="Style_4_ch"/>
    <w:link w:val="Style_54"/>
    <w:rPr>
      <w:sz w:val="28"/>
    </w:rPr>
  </w:style>
  <w:style w:styleId="Style_55" w:type="paragraph">
    <w:name w:val=" Знак Знак21"/>
    <w:basedOn w:val="Style_20"/>
    <w:link w:val="Style_55_ch"/>
    <w:rPr>
      <w:b w:val="1"/>
      <w:color w:val="663333"/>
      <w:sz w:val="32"/>
    </w:rPr>
  </w:style>
  <w:style w:styleId="Style_55_ch" w:type="character">
    <w:name w:val=" Знак Знак21"/>
    <w:basedOn w:val="Style_20_ch"/>
    <w:link w:val="Style_55"/>
    <w:rPr>
      <w:b w:val="1"/>
      <w:color w:val="663333"/>
      <w:sz w:val="32"/>
    </w:rPr>
  </w:style>
  <w:style w:styleId="Style_3" w:type="paragraph">
    <w:name w:val="ConsPlusNonformat"/>
    <w:link w:val="Style_3_ch"/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7" w:type="paragraph">
    <w:name w:val="ConsNormal"/>
    <w:link w:val="Style_7_ch"/>
    <w:pPr>
      <w:widowControl w:val="0"/>
      <w:ind w:firstLine="720" w:left="0"/>
    </w:pPr>
    <w:rPr>
      <w:rFonts w:ascii="Arial" w:hAnsi="Arial"/>
    </w:rPr>
  </w:style>
  <w:style w:styleId="Style_7_ch" w:type="character">
    <w:name w:val="ConsNormal"/>
    <w:link w:val="Style_7"/>
    <w:rPr>
      <w:rFonts w:ascii="Arial" w:hAnsi="Arial"/>
    </w:rPr>
  </w:style>
  <w:style w:styleId="Style_56" w:type="paragraph">
    <w:name w:val="toc 5"/>
    <w:next w:val="Style_4"/>
    <w:link w:val="Style_5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57" w:type="paragraph">
    <w:name w:val="Body Text Indent"/>
    <w:basedOn w:val="Style_4"/>
    <w:link w:val="Style_57_ch"/>
    <w:pPr>
      <w:spacing w:after="120"/>
      <w:ind w:firstLine="0" w:left="283"/>
    </w:pPr>
    <w:rPr>
      <w:rFonts w:ascii="Times New Roman" w:hAnsi="Times New Roman"/>
      <w:color w:val="000000"/>
      <w:sz w:val="20"/>
    </w:rPr>
  </w:style>
  <w:style w:styleId="Style_57_ch" w:type="character">
    <w:name w:val="Body Text Indent"/>
    <w:basedOn w:val="Style_4_ch"/>
    <w:link w:val="Style_57"/>
    <w:rPr>
      <w:rFonts w:ascii="Times New Roman" w:hAnsi="Times New Roman"/>
      <w:color w:val="000000"/>
      <w:sz w:val="20"/>
    </w:rPr>
  </w:style>
  <w:style w:styleId="Style_58" w:type="paragraph">
    <w:name w:val="No Spacing"/>
    <w:link w:val="Style_58_ch"/>
    <w:rPr>
      <w:rFonts w:ascii="Calibri" w:hAnsi="Calibri"/>
      <w:sz w:val="22"/>
    </w:rPr>
  </w:style>
  <w:style w:styleId="Style_58_ch" w:type="character">
    <w:name w:val="No Spacing"/>
    <w:link w:val="Style_58"/>
    <w:rPr>
      <w:rFonts w:ascii="Calibri" w:hAnsi="Calibri"/>
      <w:sz w:val="22"/>
    </w:rPr>
  </w:style>
  <w:style w:styleId="Style_2" w:type="paragraph">
    <w:name w:val="header"/>
    <w:basedOn w:val="Style_4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4_ch"/>
    <w:link w:val="Style_2"/>
  </w:style>
  <w:style w:styleId="Style_59" w:type="paragraph">
    <w:name w:val="footer"/>
    <w:basedOn w:val="Style_4"/>
    <w:link w:val="Style_59_ch"/>
    <w:pPr>
      <w:tabs>
        <w:tab w:leader="none" w:pos="4677" w:val="center"/>
        <w:tab w:leader="none" w:pos="9355" w:val="right"/>
      </w:tabs>
      <w:ind/>
    </w:pPr>
  </w:style>
  <w:style w:styleId="Style_59_ch" w:type="character">
    <w:name w:val="footer"/>
    <w:basedOn w:val="Style_4_ch"/>
    <w:link w:val="Style_5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60" w:type="paragraph">
    <w:name w:val="Body Text 2"/>
    <w:basedOn w:val="Style_4"/>
    <w:link w:val="Style_60_ch"/>
    <w:pPr>
      <w:spacing w:after="120" w:line="480" w:lineRule="auto"/>
      <w:ind/>
    </w:pPr>
    <w:rPr>
      <w:rFonts w:ascii="Times New Roman" w:hAnsi="Times New Roman"/>
      <w:color w:val="000000"/>
      <w:sz w:val="20"/>
    </w:rPr>
  </w:style>
  <w:style w:styleId="Style_60_ch" w:type="character">
    <w:name w:val="Body Text 2"/>
    <w:basedOn w:val="Style_4_ch"/>
    <w:link w:val="Style_60"/>
    <w:rPr>
      <w:rFonts w:ascii="Times New Roman" w:hAnsi="Times New Roman"/>
      <w:color w:val="000000"/>
      <w:sz w:val="20"/>
    </w:rPr>
  </w:style>
  <w:style w:styleId="Style_61" w:type="paragraph">
    <w:name w:val="Strong"/>
    <w:basedOn w:val="Style_20"/>
    <w:link w:val="Style_61_ch"/>
    <w:rPr>
      <w:b w:val="1"/>
    </w:rPr>
  </w:style>
  <w:style w:styleId="Style_61_ch" w:type="character">
    <w:name w:val="Strong"/>
    <w:basedOn w:val="Style_20_ch"/>
    <w:link w:val="Style_61"/>
    <w:rPr>
      <w:b w:val="1"/>
    </w:rPr>
  </w:style>
  <w:style w:styleId="Style_62" w:type="paragraph">
    <w:name w:val="Body Text Indent 2"/>
    <w:basedOn w:val="Style_4"/>
    <w:link w:val="Style_62_ch"/>
    <w:pPr>
      <w:ind w:firstLine="709" w:left="0"/>
    </w:pPr>
    <w:rPr>
      <w:sz w:val="28"/>
    </w:rPr>
  </w:style>
  <w:style w:styleId="Style_62_ch" w:type="character">
    <w:name w:val="Body Text Indent 2"/>
    <w:basedOn w:val="Style_4_ch"/>
    <w:link w:val="Style_62"/>
    <w:rPr>
      <w:sz w:val="28"/>
    </w:rPr>
  </w:style>
  <w:style w:styleId="Style_63" w:type="paragraph">
    <w:name w:val="Subtitle"/>
    <w:basedOn w:val="Style_4"/>
    <w:link w:val="Style_63_ch"/>
    <w:uiPriority w:val="11"/>
    <w:qFormat/>
    <w:pPr>
      <w:ind w:firstLine="851" w:left="0"/>
      <w:jc w:val="both"/>
    </w:pPr>
    <w:rPr>
      <w:b w:val="1"/>
      <w:sz w:val="28"/>
    </w:rPr>
  </w:style>
  <w:style w:styleId="Style_63_ch" w:type="character">
    <w:name w:val="Subtitle"/>
    <w:basedOn w:val="Style_4_ch"/>
    <w:link w:val="Style_63"/>
    <w:rPr>
      <w:b w:val="1"/>
      <w:sz w:val="28"/>
    </w:rPr>
  </w:style>
  <w:style w:styleId="Style_64" w:type="paragraph">
    <w:name w:val="No Spacing1"/>
    <w:link w:val="Style_64_ch"/>
    <w:rPr>
      <w:sz w:val="24"/>
    </w:rPr>
  </w:style>
  <w:style w:styleId="Style_64_ch" w:type="character">
    <w:name w:val="No Spacing1"/>
    <w:link w:val="Style_64"/>
    <w:rPr>
      <w:sz w:val="24"/>
    </w:rPr>
  </w:style>
  <w:style w:styleId="Style_65" w:type="paragraph">
    <w:name w:val="ConsPlusCell"/>
    <w:link w:val="Style_65_ch"/>
    <w:pPr>
      <w:widowControl w:val="0"/>
      <w:ind/>
    </w:pPr>
    <w:rPr>
      <w:sz w:val="24"/>
    </w:rPr>
  </w:style>
  <w:style w:styleId="Style_65_ch" w:type="character">
    <w:name w:val="ConsPlusCell"/>
    <w:link w:val="Style_65"/>
    <w:rPr>
      <w:sz w:val="24"/>
    </w:rPr>
  </w:style>
  <w:style w:styleId="Style_66" w:type="paragraph">
    <w:name w:val="Title"/>
    <w:basedOn w:val="Style_4"/>
    <w:link w:val="Style_66_ch"/>
    <w:uiPriority w:val="10"/>
    <w:qFormat/>
    <w:pPr>
      <w:ind w:firstLine="851" w:left="0"/>
      <w:jc w:val="center"/>
    </w:pPr>
    <w:rPr>
      <w:b w:val="1"/>
      <w:sz w:val="28"/>
    </w:rPr>
  </w:style>
  <w:style w:styleId="Style_66_ch" w:type="character">
    <w:name w:val="Title"/>
    <w:basedOn w:val="Style_4_ch"/>
    <w:link w:val="Style_66"/>
    <w:rPr>
      <w:b w:val="1"/>
      <w:sz w:val="28"/>
    </w:rPr>
  </w:style>
  <w:style w:styleId="Style_67" w:type="paragraph">
    <w:name w:val="Normal (Web)"/>
    <w:basedOn w:val="Style_4"/>
    <w:link w:val="Style_67_ch"/>
    <w:pPr>
      <w:spacing w:afterAutospacing="on" w:beforeAutospacing="on"/>
      <w:ind/>
    </w:pPr>
    <w:rPr>
      <w:rFonts w:ascii="Times New Roman" w:hAnsi="Times New Roman"/>
      <w:color w:val="000000"/>
    </w:rPr>
  </w:style>
  <w:style w:styleId="Style_67_ch" w:type="character">
    <w:name w:val="Normal (Web)"/>
    <w:basedOn w:val="Style_4_ch"/>
    <w:link w:val="Style_67"/>
    <w:rPr>
      <w:rFonts w:ascii="Times New Roman" w:hAnsi="Times New Roman"/>
      <w:color w:val="000000"/>
    </w:rPr>
  </w:style>
  <w:style w:styleId="Style_68" w:type="paragraph">
    <w:name w:val="heading 4"/>
    <w:basedOn w:val="Style_4"/>
    <w:next w:val="Style_4"/>
    <w:link w:val="Style_68_ch"/>
    <w:uiPriority w:val="9"/>
    <w:qFormat/>
    <w:pPr>
      <w:keepNext w:val="1"/>
      <w:ind w:firstLine="851" w:left="0"/>
      <w:jc w:val="both"/>
      <w:outlineLvl w:val="3"/>
    </w:pPr>
    <w:rPr>
      <w:rFonts w:ascii="Times New Roman" w:hAnsi="Times New Roman"/>
      <w:b w:val="1"/>
      <w:sz w:val="28"/>
    </w:rPr>
  </w:style>
  <w:style w:styleId="Style_68_ch" w:type="character">
    <w:name w:val="heading 4"/>
    <w:basedOn w:val="Style_4_ch"/>
    <w:link w:val="Style_68"/>
    <w:rPr>
      <w:rFonts w:ascii="Times New Roman" w:hAnsi="Times New Roman"/>
      <w:b w:val="1"/>
      <w:sz w:val="28"/>
    </w:rPr>
  </w:style>
  <w:style w:styleId="Style_69" w:type="paragraph">
    <w:name w:val=" Знак Знак23"/>
    <w:basedOn w:val="Style_20"/>
    <w:link w:val="Style_69_ch"/>
    <w:rPr>
      <w:rFonts w:ascii="Arial" w:hAnsi="Arial"/>
      <w:b w:val="1"/>
      <w:color w:val="663333"/>
      <w:sz w:val="32"/>
    </w:rPr>
  </w:style>
  <w:style w:styleId="Style_69_ch" w:type="character">
    <w:name w:val=" Знак Знак23"/>
    <w:basedOn w:val="Style_20_ch"/>
    <w:link w:val="Style_69"/>
    <w:rPr>
      <w:rFonts w:ascii="Arial" w:hAnsi="Arial"/>
      <w:b w:val="1"/>
      <w:color w:val="663333"/>
      <w:sz w:val="32"/>
    </w:rPr>
  </w:style>
  <w:style w:styleId="Style_5" w:type="paragraph">
    <w:name w:val="Body Text Indent"/>
    <w:basedOn w:val="Style_4"/>
    <w:link w:val="Style_5_ch"/>
    <w:pPr>
      <w:ind w:firstLine="720" w:left="0"/>
      <w:jc w:val="both"/>
    </w:pPr>
    <w:rPr>
      <w:sz w:val="28"/>
    </w:rPr>
  </w:style>
  <w:style w:styleId="Style_5_ch" w:type="character">
    <w:name w:val="Body Text Indent"/>
    <w:basedOn w:val="Style_4_ch"/>
    <w:link w:val="Style_5"/>
    <w:rPr>
      <w:sz w:val="28"/>
    </w:rPr>
  </w:style>
  <w:style w:styleId="Style_70" w:type="paragraph">
    <w:name w:val="heading 2"/>
    <w:basedOn w:val="Style_4"/>
    <w:next w:val="Style_4"/>
    <w:link w:val="Style_70_ch"/>
    <w:uiPriority w:val="9"/>
    <w:qFormat/>
    <w:pPr>
      <w:keepNext w:val="1"/>
      <w:ind/>
      <w:outlineLvl w:val="1"/>
    </w:pPr>
    <w:rPr>
      <w:b w:val="1"/>
      <w:i w:val="1"/>
      <w:sz w:val="28"/>
    </w:rPr>
  </w:style>
  <w:style w:styleId="Style_70_ch" w:type="character">
    <w:name w:val="heading 2"/>
    <w:basedOn w:val="Style_4_ch"/>
    <w:link w:val="Style_70"/>
    <w:rPr>
      <w:b w:val="1"/>
      <w:i w:val="1"/>
      <w:sz w:val="28"/>
    </w:rPr>
  </w:style>
  <w:style w:styleId="Style_71" w:type="paragraph">
    <w:name w:val="ConsTitle"/>
    <w:link w:val="Style_71_ch"/>
    <w:pPr>
      <w:widowControl w:val="0"/>
      <w:ind/>
    </w:pPr>
    <w:rPr>
      <w:rFonts w:ascii="Arial" w:hAnsi="Arial"/>
      <w:b w:val="1"/>
      <w:sz w:val="16"/>
    </w:rPr>
  </w:style>
  <w:style w:styleId="Style_71_ch" w:type="character">
    <w:name w:val="ConsTitle"/>
    <w:link w:val="Style_71"/>
    <w:rPr>
      <w:rFonts w:ascii="Arial" w:hAnsi="Arial"/>
      <w:b w:val="1"/>
      <w:sz w:val="16"/>
    </w:rPr>
  </w:style>
  <w:style w:styleId="Style_72" w:type="paragraph">
    <w:name w:val="Body Text First Indent 2"/>
    <w:basedOn w:val="Style_5"/>
    <w:link w:val="Style_72_ch"/>
    <w:pPr>
      <w:spacing w:after="120"/>
      <w:ind w:firstLine="210" w:left="283"/>
      <w:jc w:val="left"/>
    </w:pPr>
    <w:rPr>
      <w:sz w:val="24"/>
    </w:rPr>
  </w:style>
  <w:style w:styleId="Style_72_ch" w:type="character">
    <w:name w:val="Body Text First Indent 2"/>
    <w:basedOn w:val="Style_5_ch"/>
    <w:link w:val="Style_72"/>
    <w:rPr>
      <w:sz w:val="24"/>
    </w:rPr>
  </w:style>
  <w:style w:styleId="Style_73" w:type="paragraph">
    <w:name w:val=" Знак Знак Знак Знак Знак Знак Знак Знак Знак Знак"/>
    <w:basedOn w:val="Style_4"/>
    <w:link w:val="Style_73_ch"/>
    <w:pPr>
      <w:spacing w:after="160" w:line="240" w:lineRule="exact"/>
      <w:ind/>
    </w:pPr>
    <w:rPr>
      <w:rFonts w:ascii="Verdana" w:hAnsi="Verdana"/>
      <w:sz w:val="20"/>
    </w:rPr>
  </w:style>
  <w:style w:styleId="Style_73_ch" w:type="character">
    <w:name w:val=" Знак Знак Знак Знак Знак Знак Знак Знак Знак Знак"/>
    <w:basedOn w:val="Style_4_ch"/>
    <w:link w:val="Style_73"/>
    <w:rPr>
      <w:rFonts w:ascii="Verdana" w:hAnsi="Verdana"/>
      <w:sz w:val="20"/>
    </w:rPr>
  </w:style>
  <w:style w:styleId="Style_74" w:type="paragraph">
    <w:name w:val="heading 6"/>
    <w:basedOn w:val="Style_4"/>
    <w:next w:val="Style_4"/>
    <w:link w:val="Style_74_ch"/>
    <w:uiPriority w:val="9"/>
    <w:qFormat/>
    <w:pPr>
      <w:keepNext w:val="1"/>
      <w:ind w:firstLine="709" w:left="0"/>
      <w:jc w:val="both"/>
      <w:outlineLvl w:val="5"/>
    </w:pPr>
    <w:rPr>
      <w:rFonts w:ascii="Times New Roman" w:hAnsi="Times New Roman"/>
      <w:b w:val="1"/>
      <w:sz w:val="22"/>
    </w:rPr>
  </w:style>
  <w:style w:styleId="Style_74_ch" w:type="character">
    <w:name w:val="heading 6"/>
    <w:basedOn w:val="Style_4_ch"/>
    <w:link w:val="Style_74"/>
    <w:rPr>
      <w:rFonts w:ascii="Times New Roman" w:hAnsi="Times New Roman"/>
      <w:b w:val="1"/>
      <w:sz w:val="22"/>
    </w:rPr>
  </w:style>
  <w:style w:styleId="Style_75" w:type="paragraph">
    <w:name w:val=" Знак Знак20"/>
    <w:basedOn w:val="Style_20"/>
    <w:link w:val="Style_75_ch"/>
    <w:rPr>
      <w:color w:val="663333"/>
      <w:sz w:val="28"/>
    </w:rPr>
  </w:style>
  <w:style w:styleId="Style_75_ch" w:type="character">
    <w:name w:val=" Знак Знак20"/>
    <w:basedOn w:val="Style_20_ch"/>
    <w:link w:val="Style_75"/>
    <w:rPr>
      <w:color w:val="663333"/>
      <w:sz w:val="28"/>
    </w:rPr>
  </w:style>
  <w:style w:styleId="Style_76" w:type="paragraph">
    <w:name w:val="Body Text 3"/>
    <w:basedOn w:val="Style_4"/>
    <w:link w:val="Style_76_ch"/>
    <w:pPr>
      <w:ind/>
      <w:jc w:val="both"/>
    </w:pPr>
    <w:rPr>
      <w:sz w:val="28"/>
    </w:rPr>
  </w:style>
  <w:style w:styleId="Style_76_ch" w:type="character">
    <w:name w:val="Body Text 3"/>
    <w:basedOn w:val="Style_4_ch"/>
    <w:link w:val="Style_76"/>
    <w:rPr>
      <w:sz w:val="28"/>
    </w:rPr>
  </w:style>
  <w:style w:styleId="Style_77" w:type="paragraph">
    <w:name w:val="текст"/>
    <w:link w:val="Style_77_ch"/>
    <w:pPr>
      <w:widowControl w:val="0"/>
      <w:spacing w:line="220" w:lineRule="exact"/>
      <w:ind w:firstLine="397" w:left="0"/>
      <w:jc w:val="both"/>
    </w:pPr>
    <w:rPr>
      <w:sz w:val="24"/>
    </w:rPr>
  </w:style>
  <w:style w:styleId="Style_77_ch" w:type="character">
    <w:name w:val="текст"/>
    <w:link w:val="Style_77"/>
    <w:rPr>
      <w:sz w:val="24"/>
    </w:rPr>
  </w:style>
  <w:style w:styleId="Style_78" w:type="table">
    <w:name w:val="Table Theme"/>
    <w:basedOn w:val="Style_79"/>
    <w:tblPr>
      <w:tblBorders>
        <w:top w:color="CCCC99" w:sz="4" w:val="single"/>
        <w:left w:color="CCCC99" w:sz="4" w:val="single"/>
        <w:bottom w:color="CCCC99" w:sz="4" w:val="single"/>
        <w:right w:color="CCCC99" w:sz="4" w:val="single"/>
        <w:insideH w:color="CCCC99" w:sz="4" w:val="single"/>
        <w:insideV w:color="CCCC99" w:sz="4" w:val="single"/>
      </w:tblBorders>
    </w:tblPr>
  </w:style>
  <w:style w:styleId="Style_80" w:type="table">
    <w:name w:val="Table Grid"/>
    <w:basedOn w:val="Style_7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7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2025-10-20T08:46:29Z</dcterms:modified>
</cp:coreProperties>
</file>