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3B" w:rsidRDefault="00FE1E3B">
      <w:pPr>
        <w:pStyle w:val="ConsPlusTitlePage"/>
      </w:pPr>
      <w:r>
        <w:br/>
      </w:r>
    </w:p>
    <w:p w:rsidR="00FE1E3B" w:rsidRDefault="00FE1E3B">
      <w:pPr>
        <w:pStyle w:val="ConsPlusNormal"/>
        <w:jc w:val="both"/>
        <w:outlineLvl w:val="0"/>
      </w:pPr>
    </w:p>
    <w:p w:rsidR="00FE1E3B" w:rsidRDefault="00FE1E3B">
      <w:pPr>
        <w:pStyle w:val="ConsPlusTitle"/>
        <w:jc w:val="center"/>
        <w:outlineLvl w:val="0"/>
      </w:pPr>
      <w:r>
        <w:t>АДМИНИСТРАЦИЯ КУРСКОЙ ОБЛАСТИ</w:t>
      </w:r>
    </w:p>
    <w:p w:rsidR="00FE1E3B" w:rsidRDefault="00FE1E3B">
      <w:pPr>
        <w:pStyle w:val="ConsPlusTitle"/>
        <w:jc w:val="center"/>
      </w:pPr>
    </w:p>
    <w:p w:rsidR="00FE1E3B" w:rsidRDefault="00FE1E3B">
      <w:pPr>
        <w:pStyle w:val="ConsPlusTitle"/>
        <w:jc w:val="center"/>
      </w:pPr>
      <w:r>
        <w:t>ПОСТАНОВЛЕНИЕ</w:t>
      </w:r>
    </w:p>
    <w:p w:rsidR="00FE1E3B" w:rsidRDefault="00FE1E3B">
      <w:pPr>
        <w:pStyle w:val="ConsPlusTitle"/>
        <w:jc w:val="center"/>
      </w:pPr>
      <w:r>
        <w:t>от 29 февраля 2016 г. N 117-па</w:t>
      </w:r>
    </w:p>
    <w:p w:rsidR="00FE1E3B" w:rsidRDefault="00FE1E3B">
      <w:pPr>
        <w:pStyle w:val="ConsPlusTitle"/>
        <w:jc w:val="center"/>
      </w:pPr>
    </w:p>
    <w:p w:rsidR="00FE1E3B" w:rsidRDefault="00FE1E3B">
      <w:pPr>
        <w:pStyle w:val="ConsPlusTitle"/>
        <w:jc w:val="center"/>
      </w:pPr>
      <w:r>
        <w:t>ОБ УТВЕРЖДЕНИИ МЕТОДИКИ ПРОВЕДЕНИЯ МОНИТОРИНГА И СОСТАВЛЕНИЯ</w:t>
      </w:r>
    </w:p>
    <w:p w:rsidR="00FE1E3B" w:rsidRDefault="00FE1E3B">
      <w:pPr>
        <w:pStyle w:val="ConsPlusTitle"/>
        <w:jc w:val="center"/>
      </w:pPr>
      <w:r>
        <w:t>РЕЙТИНГА МУНИЦИПАЛЬНЫХ РАЙОНОВ И ГОРОДСКИХ ОКРУГОВ</w:t>
      </w:r>
    </w:p>
    <w:p w:rsidR="00FE1E3B" w:rsidRDefault="00FE1E3B">
      <w:pPr>
        <w:pStyle w:val="ConsPlusTitle"/>
        <w:jc w:val="center"/>
      </w:pPr>
      <w:r>
        <w:t>КУРСКОЙ ОБЛАСТИ ПО УРОВНЮ ОТКРЫТОСТИ БЮДЖЕТНЫХ ДАННЫХ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  <w:r>
        <w:t>В целях реализации принципа прозрачности (открытости) бюджетной системы Российской Федерации и обеспечения полноты, качества и своевременности публикации информации о бюджетных данных муниципальных образований Курской области в сети "Интернет" Администрация Курской области постановляет: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3" w:history="1">
        <w:r>
          <w:rPr>
            <w:color w:val="0000FF"/>
          </w:rPr>
          <w:t>Методику</w:t>
        </w:r>
      </w:hyperlink>
      <w:r>
        <w:t xml:space="preserve"> проведения мониторинга и составления рейтинга муниципальных районов и городских округов Курской области (далее - муниципальные образования Курской области) по уровню открытости бюджетных данных.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 xml:space="preserve">2. Комитету финансов Курской области (Л.В. </w:t>
      </w:r>
      <w:proofErr w:type="spellStart"/>
      <w:r>
        <w:t>Положенцева</w:t>
      </w:r>
      <w:proofErr w:type="spellEnd"/>
      <w:r>
        <w:t>) обеспечить: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утверждение форм,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сбор материалов и сведений от муниципальных образований Курской области, необходимых для проведения оценки и мониторинга уровня открытости бюджетных данных муниципальных образований Курской области;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формирование итоговых результатов мониторинга и составление рейтингов муниципальных образований Курской области по уровню открытости бюджетных данных за отчетный финансовый год;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ежегодное размещение в срок до 15 февраля года, следующего за отчетным, на официальном сайте Администрации Курской области в информационно-телекоммуникационной сети "Интернет" составленных рейтингов муниципальных образований Курской области по уровню открытости бюджетных данных.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 xml:space="preserve">3. Рекомендовать администрациям муниципальных районов и городских округов Курской области ежегодно в срок до 1 декабря предоставлять в комитет финансов Курской области сведения о месте размещения информации о показателях </w:t>
      </w:r>
      <w:proofErr w:type="gramStart"/>
      <w:r>
        <w:t>мониторинга уровня открытости бюджетных данных муниципальных образований Курской области</w:t>
      </w:r>
      <w:proofErr w:type="gramEnd"/>
      <w:r>
        <w:t xml:space="preserve"> в информационно-телекоммуникационной сети "Интернет".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районов Курской области организовать ежегодное проведение оценки открытости бюджетных данных и участия граждан в бюджетном процессе на уровне поселений.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jc w:val="right"/>
      </w:pPr>
      <w:r>
        <w:t>Губернатор</w:t>
      </w:r>
    </w:p>
    <w:p w:rsidR="00FE1E3B" w:rsidRDefault="00FE1E3B">
      <w:pPr>
        <w:pStyle w:val="ConsPlusNormal"/>
        <w:jc w:val="right"/>
      </w:pPr>
      <w:r>
        <w:t>Курской области</w:t>
      </w:r>
    </w:p>
    <w:p w:rsidR="00FE1E3B" w:rsidRDefault="00FE1E3B">
      <w:pPr>
        <w:pStyle w:val="ConsPlusNormal"/>
        <w:jc w:val="right"/>
      </w:pPr>
      <w:r>
        <w:t>А.Н.МИХАЙЛОВ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jc w:val="right"/>
        <w:outlineLvl w:val="0"/>
      </w:pPr>
      <w:r>
        <w:t>Утверждена</w:t>
      </w:r>
    </w:p>
    <w:p w:rsidR="00FE1E3B" w:rsidRDefault="00FE1E3B">
      <w:pPr>
        <w:pStyle w:val="ConsPlusNormal"/>
        <w:jc w:val="right"/>
      </w:pPr>
      <w:r>
        <w:t>постановлением</w:t>
      </w:r>
    </w:p>
    <w:p w:rsidR="00FE1E3B" w:rsidRDefault="00FE1E3B">
      <w:pPr>
        <w:pStyle w:val="ConsPlusNormal"/>
        <w:jc w:val="right"/>
      </w:pPr>
      <w:r>
        <w:t>Администрации Курской области</w:t>
      </w:r>
    </w:p>
    <w:p w:rsidR="00FE1E3B" w:rsidRDefault="00FE1E3B">
      <w:pPr>
        <w:pStyle w:val="ConsPlusNormal"/>
        <w:jc w:val="right"/>
      </w:pPr>
      <w:r>
        <w:t>от 29 февраля 2016 г. N 117-па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Title"/>
        <w:jc w:val="center"/>
      </w:pPr>
      <w:bookmarkStart w:id="0" w:name="P33"/>
      <w:bookmarkEnd w:id="0"/>
      <w:r>
        <w:t>МЕТОДИКА</w:t>
      </w:r>
    </w:p>
    <w:p w:rsidR="00FE1E3B" w:rsidRDefault="00FE1E3B">
      <w:pPr>
        <w:pStyle w:val="ConsPlusTitle"/>
        <w:jc w:val="center"/>
      </w:pPr>
      <w:r>
        <w:t>ПРОВЕДЕНИЯ МОНИТОРИНГА И СОСТАВЛЕНИЯ РЕЙТИНГА</w:t>
      </w:r>
    </w:p>
    <w:p w:rsidR="00FE1E3B" w:rsidRDefault="00FE1E3B">
      <w:pPr>
        <w:pStyle w:val="ConsPlusTitle"/>
        <w:jc w:val="center"/>
      </w:pPr>
      <w:r>
        <w:t>МУНИЦИПАЛЬНЫХ РАЙОНОВ И ГОРОДСКИХ ОКРУГОВ КУРСКОЙ ОБЛАСТИ</w:t>
      </w:r>
    </w:p>
    <w:p w:rsidR="00FE1E3B" w:rsidRDefault="00FE1E3B">
      <w:pPr>
        <w:pStyle w:val="ConsPlusTitle"/>
        <w:jc w:val="center"/>
      </w:pPr>
      <w:r>
        <w:t>ПО УРОВНЮ ОТКРЫТОСТИ БЮДЖЕТНЫХ ДАННЫХ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  <w:r>
        <w:t>Настоящая Методика проведения мониторинга и составления рейтинга муниципальных районов и городских округов Курской области по уровню открытости бюджетных данных (далее - Методика) разработана в целях повышения открытости бюджетных данных муниципальных районов и городских округов Курской области (далее - муниципальные образования Курской области).</w:t>
      </w:r>
    </w:p>
    <w:p w:rsidR="00FE1E3B" w:rsidRDefault="00FE1E3B">
      <w:pPr>
        <w:pStyle w:val="ConsPlusNormal"/>
        <w:spacing w:before="220"/>
        <w:ind w:firstLine="540"/>
        <w:jc w:val="both"/>
      </w:pPr>
      <w:proofErr w:type="gramStart"/>
      <w:r>
        <w:t>Мониторинг уровня открытости бюджетных данных муниципальных образований Курской области осуществляется комитетом финансов Курской области в срок до 15 февраля года, следующего за отчетным, по группам показателей, характеризующих уровень открытости бюджетных данных муниципальных образований Курской области.</w:t>
      </w:r>
      <w:proofErr w:type="gramEnd"/>
    </w:p>
    <w:p w:rsidR="00FE1E3B" w:rsidRDefault="00FE1E3B">
      <w:pPr>
        <w:pStyle w:val="ConsPlusNormal"/>
        <w:spacing w:before="220"/>
        <w:ind w:firstLine="540"/>
        <w:jc w:val="both"/>
      </w:pPr>
      <w:r>
        <w:t>Показатели мониторинга группируются по следующим направлениям: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1) содержательное наполнение официального сайта муниципального образования или официального сайта администрации муниципального образования в части обеспечения открытости бюджетных данных для граждан;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2) наличие и содержательное наполнение "Бюджета для граждан";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3)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</w:r>
      <w:proofErr w:type="spellStart"/>
      <w:r>
        <w:t>bus.gov.ru</w:t>
      </w:r>
      <w:proofErr w:type="spellEnd"/>
      <w:r>
        <w:t>);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4) публикация сведений по вопросам осуществления финансового контроля;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5) общественное участие.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 xml:space="preserve">В ходе проведения мониторинга по каждому показателю в зависимости от степени его выполнения выставляется балльная оценка. </w:t>
      </w:r>
      <w:hyperlink w:anchor="P64" w:history="1">
        <w:r>
          <w:rPr>
            <w:color w:val="0000FF"/>
          </w:rPr>
          <w:t>Показатели</w:t>
        </w:r>
      </w:hyperlink>
      <w:r>
        <w:t xml:space="preserve"> и соответствующие их значениям балльные оценки представлены в приложении к настоящей Методике.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Итоговая оценка по уровню открытости бюджетных данных (далее - итоговая оценка) определяется по каждому муниципальному образованию в Курской области как сумма балльных оценок по всем группам показателей.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Муниципальному образованию с наибольшим значением итоговой оценки показателей присваивается 1-е место в рейтинге.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Ранжирование муниципальных образований производится по убыванию в соответствии с полученными итоговыми оценками показателей.</w:t>
      </w:r>
    </w:p>
    <w:p w:rsidR="00FE1E3B" w:rsidRDefault="00FE1E3B">
      <w:pPr>
        <w:pStyle w:val="ConsPlusNormal"/>
        <w:spacing w:before="220"/>
        <w:ind w:firstLine="540"/>
        <w:jc w:val="both"/>
      </w:pPr>
      <w:r>
        <w:t>Итоговая оценка учитывается при осуществлении мониторинга и оценки качества управления муниципальными финансами.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jc w:val="right"/>
        <w:outlineLvl w:val="1"/>
      </w:pPr>
      <w:r>
        <w:t>Приложение</w:t>
      </w:r>
    </w:p>
    <w:p w:rsidR="00FE1E3B" w:rsidRDefault="00FE1E3B">
      <w:pPr>
        <w:pStyle w:val="ConsPlusNormal"/>
        <w:jc w:val="right"/>
      </w:pPr>
      <w:r>
        <w:t>к Методике проведения мониторинга</w:t>
      </w:r>
    </w:p>
    <w:p w:rsidR="00FE1E3B" w:rsidRDefault="00FE1E3B">
      <w:pPr>
        <w:pStyle w:val="ConsPlusNormal"/>
        <w:jc w:val="right"/>
      </w:pPr>
      <w:r>
        <w:t>и составления рейтинга</w:t>
      </w:r>
    </w:p>
    <w:p w:rsidR="00FE1E3B" w:rsidRDefault="00FE1E3B">
      <w:pPr>
        <w:pStyle w:val="ConsPlusNormal"/>
        <w:jc w:val="right"/>
      </w:pPr>
      <w:r>
        <w:t>муниципальных районов</w:t>
      </w:r>
    </w:p>
    <w:p w:rsidR="00FE1E3B" w:rsidRDefault="00FE1E3B">
      <w:pPr>
        <w:pStyle w:val="ConsPlusNormal"/>
        <w:jc w:val="right"/>
      </w:pPr>
      <w:r>
        <w:t>и городских округов</w:t>
      </w:r>
    </w:p>
    <w:p w:rsidR="00FE1E3B" w:rsidRDefault="00FE1E3B">
      <w:pPr>
        <w:pStyle w:val="ConsPlusNormal"/>
        <w:jc w:val="right"/>
      </w:pPr>
      <w:r>
        <w:t>Курской области по уровню</w:t>
      </w:r>
    </w:p>
    <w:p w:rsidR="00FE1E3B" w:rsidRDefault="00FE1E3B">
      <w:pPr>
        <w:pStyle w:val="ConsPlusNormal"/>
        <w:jc w:val="right"/>
      </w:pPr>
      <w:r>
        <w:t>открытости бюджетных данных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jc w:val="center"/>
      </w:pPr>
      <w:bookmarkStart w:id="1" w:name="P64"/>
      <w:bookmarkEnd w:id="1"/>
      <w:r>
        <w:t>ПОКАЗАТЕЛИ</w:t>
      </w:r>
    </w:p>
    <w:p w:rsidR="00FE1E3B" w:rsidRDefault="00FE1E3B">
      <w:pPr>
        <w:pStyle w:val="ConsPlusNormal"/>
        <w:jc w:val="center"/>
      </w:pPr>
      <w:r>
        <w:t>МОНИТОРИНГА УРОВНЯ ОТКРЫТОСТИ БЮДЖЕТНЫХ ДАННЫХ</w:t>
      </w:r>
    </w:p>
    <w:p w:rsidR="00FE1E3B" w:rsidRDefault="00FE1E3B">
      <w:pPr>
        <w:pStyle w:val="ConsPlusNormal"/>
        <w:jc w:val="center"/>
      </w:pPr>
      <w:r>
        <w:t>МУНИЦИПАЛЬНЫХ ОБРАЗОВАНИЙ КУРСКОЙ ОБЛАСТИ</w:t>
      </w: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sectPr w:rsidR="00FE1E3B" w:rsidSect="006A4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778"/>
        <w:gridCol w:w="2575"/>
        <w:gridCol w:w="928"/>
        <w:gridCol w:w="2835"/>
      </w:tblGrid>
      <w:tr w:rsidR="00FE1E3B">
        <w:tc>
          <w:tcPr>
            <w:tcW w:w="453" w:type="dxa"/>
          </w:tcPr>
          <w:p w:rsidR="00FE1E3B" w:rsidRDefault="00FE1E3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FE1E3B" w:rsidRDefault="00FE1E3B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Оценка (баллы)</w:t>
            </w:r>
          </w:p>
        </w:tc>
        <w:tc>
          <w:tcPr>
            <w:tcW w:w="2835" w:type="dxa"/>
          </w:tcPr>
          <w:p w:rsidR="00FE1E3B" w:rsidRDefault="00FE1E3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E1E3B">
        <w:tc>
          <w:tcPr>
            <w:tcW w:w="9569" w:type="dxa"/>
            <w:gridSpan w:val="5"/>
          </w:tcPr>
          <w:p w:rsidR="00FE1E3B" w:rsidRDefault="00FE1E3B">
            <w:pPr>
              <w:pStyle w:val="ConsPlusNormal"/>
              <w:jc w:val="center"/>
              <w:outlineLvl w:val="2"/>
            </w:pPr>
            <w:r>
              <w:t>1. Содержательное наполнение официального сайта муниципального образования или официального сайта администрации муниципального образования (далее - официальный сайт) в части обеспечения открытости бюджетных данных для граждан</w:t>
            </w: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1.1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первоначально принятого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1.2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решения об исполнении бюджета муниципального образования за отчетный финансовый год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опубликован</w:t>
            </w:r>
            <w:proofErr w:type="gramEnd"/>
            <w:r>
              <w:t>, но не в структурированном виде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1.3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Опубликование </w:t>
            </w:r>
            <w:proofErr w:type="gramStart"/>
            <w:r>
              <w:t xml:space="preserve">в составе материалов к решению об исполнении бюджета муниципального образования за отчетный финансовый год сведений о </w:t>
            </w:r>
            <w:r>
              <w:lastRenderedPageBreak/>
              <w:t>выполнении</w:t>
            </w:r>
            <w:proofErr w:type="gramEnd"/>
            <w:r>
              <w:t xml:space="preserve"> муниципальных заданий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lastRenderedPageBreak/>
              <w:t>Да,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Показатель применяется для оценки муниципальных образований, в которых имеются муниципальные учреждения, выполняющие муниципальное задание.</w:t>
            </w:r>
          </w:p>
          <w:p w:rsidR="00FE1E3B" w:rsidRDefault="00FE1E3B">
            <w:pPr>
              <w:pStyle w:val="ConsPlusNormal"/>
            </w:pPr>
            <w:r>
              <w:lastRenderedPageBreak/>
              <w:t>В составе сведений о выполнении муниципальных заданий в обязательном порядке должны быть представлены плановые и фактические значения показателей, характеризующих объемы и (или) качество государственных услуг (работ)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опубликованы</w:t>
            </w:r>
            <w:proofErr w:type="gramEnd"/>
            <w:r>
              <w:t xml:space="preserve"> или не отвечают требованиям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решений о внесении изменений в решение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1.5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актуализированной версии решения о бюджете муниципального образования на текущий финансовый год (текущий финансовый год и плановый период) с учетом внесенных изменений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опубликовано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В целях оценки показателя учитывается публикация актуализированной версии решения о бюджете (с учетом всех принятых на дату проведения мониторинга решений о внесении изменений в бюджет) со всеми приложениями; публикация отдельных составляющих в целях оценки показателя не учитывается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опубликовано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Наличие актуальных сведений об исполнении местного бюджета по доходам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Представлена информация о ежеквартальном исполнении местного бюджета по доходам: налоговые и неналоговые доходы в разрезе видов доходов, безвозмездные поступления по видам (дотации, субсидии, субвенции, иные межбюджетные трансферты)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Сведения не опубликованы или не содержат сведений по статьям доходов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1.7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Наличие актуальных сведений об исполнении местного бюджета по расходам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Представлена информация о ежеквартальном исполнении местного бюджета по разделам и подразделам функциональной классификации расходов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Сведения не опубликованы или не содержат сведений по разделам и подразделам функциональной </w:t>
            </w:r>
            <w:r>
              <w:lastRenderedPageBreak/>
              <w:t>классификации расходов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Наличие актуальных сведений об объеме муниципального долга по видам заимствований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сведения публикуются ежеквартально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9569" w:type="dxa"/>
            <w:gridSpan w:val="5"/>
          </w:tcPr>
          <w:p w:rsidR="00FE1E3B" w:rsidRDefault="00FE1E3B">
            <w:pPr>
              <w:pStyle w:val="ConsPlusNormal"/>
              <w:jc w:val="center"/>
              <w:outlineLvl w:val="2"/>
            </w:pPr>
            <w:r>
              <w:t>2. Наличие и содержательное наполнение "Бюджета для граждан"</w:t>
            </w: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2.1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в сети "Интернет" "Бюджета для граждан", разработанного на основе решения о бюджете муниципального образования на текущий финансовый год (текущий финансовый год и плановый период)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опубликован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"Бюджет для граждан" - это документ (брошюра, буклет, презентация), содержащий основные положения решения о бюджете муниципального образования в доступной для широкого круга заинтересованных пользователей форме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2.2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Представление в "Бюджете для граждан" пояснений, используемых терминов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2.3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Представление в "Бюджете для граждан" показателей прогноза социально-экономического развития муниципального образования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2.4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Представление в "Бюджете для граждан" сведений о доходах бюджета на </w:t>
            </w:r>
            <w:r>
              <w:lastRenderedPageBreak/>
              <w:t>текущий финансовый год в разрезе видов доходов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lastRenderedPageBreak/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Представление в "Бюджете для граждан" сведений о расходах бюджета на текущий финансовый год по разделам и подразделам классификации расходов бюджета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2.6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Представление в "Бюджете для граждан" сведений о расходах на реализацию муниципальных программ на текущий финансовый год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2.7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Представление в "Бюджете для граждан" сведений о планируемом предельном объеме муниципального долга на текущий финансовый год и планируемом верхнем пределе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Да,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2.8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Представление в "Бюджете для граждан" контактной </w:t>
            </w:r>
            <w:r>
              <w:lastRenderedPageBreak/>
              <w:t>информации для граждан, которые хотят больше узнать о бюджете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lastRenderedPageBreak/>
              <w:t xml:space="preserve">Да,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В целях оценки показателя учитывается контактная </w:t>
            </w:r>
            <w:r>
              <w:lastRenderedPageBreak/>
              <w:t>информация, представленная непосредственно в "Бюджете для граждан"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 xml:space="preserve">Нет, не </w:t>
            </w:r>
            <w:proofErr w:type="gramStart"/>
            <w:r>
              <w:t>представлена</w:t>
            </w:r>
            <w:proofErr w:type="gramEnd"/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9569" w:type="dxa"/>
            <w:gridSpan w:val="5"/>
          </w:tcPr>
          <w:p w:rsidR="00FE1E3B" w:rsidRDefault="00FE1E3B">
            <w:pPr>
              <w:pStyle w:val="ConsPlusNormal"/>
              <w:jc w:val="center"/>
              <w:outlineLvl w:val="2"/>
            </w:pPr>
            <w:r>
              <w:lastRenderedPageBreak/>
              <w:t>3. Публикация сведений муниципальными учреждениями соответствующих муниципальных образований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</w:t>
            </w: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Доля муниципальных бюджетных и автономных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>
              <w:t>bus.gov.ru</w:t>
            </w:r>
            <w:proofErr w:type="spellEnd"/>
            <w:r>
              <w:t>) муниципальные задания на текущий финансовый год, %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100%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Показатель применяется для оценки муниципальных образований, в которых имеются бюджетные и автономные учреждения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менее 100%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3.2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Доля муниципальных учреждений муниципального образования Курской области, опубликовавших на официальном сайте Российской Федерации для размещения информации о государственных (муниципальных) </w:t>
            </w:r>
            <w:r>
              <w:lastRenderedPageBreak/>
              <w:t>учреждениях (</w:t>
            </w:r>
            <w:proofErr w:type="spellStart"/>
            <w:r>
              <w:t>bus.gov.ru</w:t>
            </w:r>
            <w:proofErr w:type="spellEnd"/>
            <w:r>
              <w:t>) планы финансово-хозяйственной деятельности или бюджетную смету на текущий финансовый год, %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lastRenderedPageBreak/>
              <w:t>100%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Менее 100 %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9569" w:type="dxa"/>
            <w:gridSpan w:val="5"/>
          </w:tcPr>
          <w:p w:rsidR="00FE1E3B" w:rsidRDefault="00FE1E3B">
            <w:pPr>
              <w:pStyle w:val="ConsPlusNormal"/>
              <w:jc w:val="center"/>
              <w:outlineLvl w:val="2"/>
            </w:pPr>
            <w:r>
              <w:lastRenderedPageBreak/>
              <w:t>4. Публикация сведений по вопросам осуществления финансового контроля</w:t>
            </w: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4.1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Опубликование информации о проведенных в текущем финансовом году контрольных мероприятиях органами муниципального финансового контроля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опубликована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не опубликована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9569" w:type="dxa"/>
            <w:gridSpan w:val="5"/>
          </w:tcPr>
          <w:p w:rsidR="00FE1E3B" w:rsidRDefault="00FE1E3B">
            <w:pPr>
              <w:pStyle w:val="ConsPlusNormal"/>
              <w:jc w:val="center"/>
              <w:outlineLvl w:val="2"/>
            </w:pPr>
            <w:r>
              <w:t>5. Общественное участие</w:t>
            </w:r>
          </w:p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5.1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 xml:space="preserve">Проведение </w:t>
            </w:r>
            <w:proofErr w:type="spellStart"/>
            <w:proofErr w:type="gramStart"/>
            <w:r>
              <w:t>интернет-опросов</w:t>
            </w:r>
            <w:proofErr w:type="spellEnd"/>
            <w:proofErr w:type="gramEnd"/>
            <w:r>
              <w:t xml:space="preserve"> общественного мнения по бюджетной тематике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опросы по бюджетной тематике в текущем году проводятся или проведены, результаты опросов за текущий год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Оценивается наличие в текущем году опросов по бюджетной тематике или результатов проведенного опроса, а также результатов опросов за текущий год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опросы по бюджетной тематике в текущем году проводятся или проведены, но результаты опросов за текущий год не опубликованы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опросы не проводятся или такой возможности не существует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Наличие возможности для граждан в электронном виде задать вопрос, направить отзыв и (или) предложение по бюджетной тематике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существует такая возможность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  <w:r>
              <w:t>Оценивается наличие на сайте возможности задать вопрос, направить вопрос, отзыв и (или) предложение по бюджетной тематике в электронном виде - через контекстное меню (не прибегая к помощи почтовых агентов, дополнительных программ)</w:t>
            </w: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такой возможности не существует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  <w:tr w:rsidR="00FE1E3B">
        <w:tc>
          <w:tcPr>
            <w:tcW w:w="453" w:type="dxa"/>
            <w:vMerge w:val="restart"/>
          </w:tcPr>
          <w:p w:rsidR="00FE1E3B" w:rsidRDefault="00FE1E3B">
            <w:pPr>
              <w:pStyle w:val="ConsPlusNormal"/>
            </w:pPr>
            <w:r>
              <w:t>5.3</w:t>
            </w:r>
          </w:p>
        </w:tc>
        <w:tc>
          <w:tcPr>
            <w:tcW w:w="2778" w:type="dxa"/>
            <w:vMerge w:val="restart"/>
          </w:tcPr>
          <w:p w:rsidR="00FE1E3B" w:rsidRDefault="00FE1E3B">
            <w:pPr>
              <w:pStyle w:val="ConsPlusNormal"/>
            </w:pPr>
            <w:r>
              <w:t>Наличие информации о проведенных публичных слушаниях по проекту решения о бюджете муниципального образования на текущий финансовый год и плановый период или проекту решения об исполнении бюджета муниципального образования за отчетный финансовый год</w:t>
            </w:r>
          </w:p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Да, опубликована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FE1E3B" w:rsidRDefault="00FE1E3B">
            <w:pPr>
              <w:pStyle w:val="ConsPlusNormal"/>
            </w:pPr>
          </w:p>
        </w:tc>
      </w:tr>
      <w:tr w:rsidR="00FE1E3B">
        <w:tc>
          <w:tcPr>
            <w:tcW w:w="453" w:type="dxa"/>
            <w:vMerge/>
          </w:tcPr>
          <w:p w:rsidR="00FE1E3B" w:rsidRDefault="00FE1E3B"/>
        </w:tc>
        <w:tc>
          <w:tcPr>
            <w:tcW w:w="2778" w:type="dxa"/>
            <w:vMerge/>
          </w:tcPr>
          <w:p w:rsidR="00FE1E3B" w:rsidRDefault="00FE1E3B"/>
        </w:tc>
        <w:tc>
          <w:tcPr>
            <w:tcW w:w="2575" w:type="dxa"/>
          </w:tcPr>
          <w:p w:rsidR="00FE1E3B" w:rsidRDefault="00FE1E3B">
            <w:pPr>
              <w:pStyle w:val="ConsPlusNormal"/>
            </w:pPr>
            <w:r>
              <w:t>Нет, информация о проведенных публичных слушаниях отсутствует</w:t>
            </w:r>
          </w:p>
        </w:tc>
        <w:tc>
          <w:tcPr>
            <w:tcW w:w="928" w:type="dxa"/>
          </w:tcPr>
          <w:p w:rsidR="00FE1E3B" w:rsidRDefault="00FE1E3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vMerge/>
          </w:tcPr>
          <w:p w:rsidR="00FE1E3B" w:rsidRDefault="00FE1E3B"/>
        </w:tc>
      </w:tr>
    </w:tbl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ind w:firstLine="540"/>
        <w:jc w:val="both"/>
      </w:pPr>
    </w:p>
    <w:p w:rsidR="00FE1E3B" w:rsidRDefault="00FE1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50E" w:rsidRDefault="00D41587"/>
    <w:sectPr w:rsidR="0011350E" w:rsidSect="004103F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E1E3B"/>
    <w:rsid w:val="00385BA9"/>
    <w:rsid w:val="00495943"/>
    <w:rsid w:val="00676762"/>
    <w:rsid w:val="00C5081D"/>
    <w:rsid w:val="00CB08C4"/>
    <w:rsid w:val="00D41587"/>
    <w:rsid w:val="00EE73DC"/>
    <w:rsid w:val="00FE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1871</Words>
  <Characters>10671</Characters>
  <Application>Microsoft Office Word</Application>
  <DocSecurity>0</DocSecurity>
  <Lines>88</Lines>
  <Paragraphs>25</Paragraphs>
  <ScaleCrop>false</ScaleCrop>
  <Company>Hewlett-Packard Company</Company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2</cp:revision>
  <dcterms:created xsi:type="dcterms:W3CDTF">2021-01-19T13:32:00Z</dcterms:created>
  <dcterms:modified xsi:type="dcterms:W3CDTF">2022-02-03T13:43:00Z</dcterms:modified>
</cp:coreProperties>
</file>