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16.12.2025</w:t>
                            </w:r>
                            <w:r>
                              <w:t xml:space="preserve"> № 139н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дополнить подпунктом 2.2.239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следующего содержания:</w:t>
      </w:r>
    </w:p>
    <w:p w14:paraId="13000000">
      <w:pPr>
        <w:pStyle w:val="Style_2"/>
        <w:ind w:firstLine="709" w:left="0"/>
        <w:jc w:val="both"/>
      </w:pPr>
      <w:r>
        <w:t>«2.2.239</w:t>
      </w:r>
      <w:r>
        <w:rPr>
          <w:vertAlign w:val="superscript"/>
        </w:rPr>
        <w:t>2</w:t>
      </w:r>
      <w:r>
        <w:t>. </w:t>
      </w:r>
      <w:r>
        <w:t xml:space="preserve">По направлению расходов «58090 Возмещение </w:t>
      </w:r>
      <w:r>
        <w:t>и </w:t>
      </w:r>
      <w:r>
        <w:t>финансовое обеспечение затрат региона</w:t>
      </w:r>
      <w:r>
        <w:t>льного оператора по обращению с </w:t>
      </w:r>
      <w:r>
        <w:t>твердыми коммунальными отходами, осуществляющего деятельность</w:t>
      </w:r>
      <w:r>
        <w:t xml:space="preserve"> в </w:t>
      </w:r>
      <w:r>
        <w:t>северо-восточной зоне Курской области»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 возмещение и финансовое обеспечение затрат регионального оператора по обращению с твердыми коммунальными отходами, осуществляющего деятельность в северо-восточной</w:t>
      </w:r>
      <w:r>
        <w:t xml:space="preserve"> зоне Курской области</w:t>
      </w:r>
      <w: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 слова «2.2.239</w:t>
      </w:r>
      <w:r>
        <w:rPr>
          <w:sz w:val="28"/>
          <w:vertAlign w:val="superscript"/>
        </w:rPr>
        <w:t>2</w:t>
      </w:r>
      <w:r>
        <w:rPr>
          <w:sz w:val="28"/>
        </w:rPr>
        <w:t>. По направлению расходов «58120 Возмещение части потерь в доходах региона</w:t>
      </w:r>
      <w:r>
        <w:rPr>
          <w:sz w:val="28"/>
        </w:rPr>
        <w:t>льного оператора по обращению с </w:t>
      </w:r>
      <w:r>
        <w:rPr>
          <w:sz w:val="28"/>
        </w:rPr>
        <w:t xml:space="preserve">твердыми коммунальными отходами в юго-западной зоне, возникающих в связи с приостановлением начисления </w:t>
      </w:r>
      <w:r>
        <w:rPr>
          <w:sz w:val="28"/>
        </w:rPr>
        <w:t>платы за коммунальную услугу по </w:t>
      </w:r>
      <w:r>
        <w:rPr>
          <w:sz w:val="28"/>
        </w:rPr>
        <w:t>обращению с твердыми коммунальными отходами на отдельных территориях Курской области» отражаются расходы» заменить словами «2.2.239</w:t>
      </w:r>
      <w:r>
        <w:rPr>
          <w:sz w:val="28"/>
          <w:vertAlign w:val="superscript"/>
        </w:rPr>
        <w:t>3</w:t>
      </w:r>
      <w:r>
        <w:rPr>
          <w:sz w:val="28"/>
        </w:rPr>
        <w:t>. По направлению расходов «</w:t>
      </w:r>
      <w:r>
        <w:rPr>
          <w:sz w:val="28"/>
        </w:rPr>
        <w:t>58120 Возмещение части потерь в </w:t>
      </w:r>
      <w:r>
        <w:rPr>
          <w:sz w:val="28"/>
        </w:rPr>
        <w:t xml:space="preserve">доходах регионального оператора по обращению с твердыми коммунальными отходами в юго-западной </w:t>
      </w:r>
      <w:r>
        <w:rPr>
          <w:sz w:val="28"/>
        </w:rPr>
        <w:t>зоне, возникающих в связи с </w:t>
      </w:r>
      <w:r>
        <w:rPr>
          <w:sz w:val="28"/>
        </w:rPr>
        <w:t xml:space="preserve">приостановлением начисления </w:t>
      </w:r>
      <w:r>
        <w:rPr>
          <w:sz w:val="28"/>
        </w:rPr>
        <w:t>платы за коммунальную услугу по </w:t>
      </w:r>
      <w:r>
        <w:rPr>
          <w:sz w:val="28"/>
        </w:rPr>
        <w:t>обращению с твердыми коммунальными отходами на отдельных территориях Курской</w:t>
      </w:r>
      <w:r>
        <w:rPr>
          <w:sz w:val="28"/>
        </w:rPr>
        <w:t xml:space="preserve"> области» отражаются расходы»;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3) подпункт 2.2.343</w:t>
      </w:r>
      <w:r>
        <w:rPr>
          <w:sz w:val="28"/>
          <w:vertAlign w:val="superscript"/>
        </w:rPr>
        <w:t>7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изложить в следующей редакции:</w:t>
      </w:r>
    </w:p>
    <w:p w14:paraId="16000000">
      <w:pPr>
        <w:spacing w:line="276" w:lineRule="auto"/>
        <w:ind w:firstLine="540" w:left="0"/>
        <w:jc w:val="both"/>
        <w:rPr>
          <w:sz w:val="28"/>
        </w:rPr>
      </w:pPr>
      <w:r>
        <w:rPr>
          <w:sz w:val="28"/>
        </w:rPr>
        <w:t>«2.2.343</w:t>
      </w:r>
      <w:r>
        <w:rPr>
          <w:sz w:val="28"/>
          <w:vertAlign w:val="superscript"/>
        </w:rPr>
        <w:t>7</w:t>
      </w:r>
      <w:r>
        <w:rPr>
          <w:sz w:val="28"/>
        </w:rPr>
        <w:t>. </w:t>
      </w:r>
      <w:r>
        <w:rPr>
          <w:sz w:val="28"/>
        </w:rPr>
        <w:t>По направлению расходов «R8460 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 территории Курской области»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</w:t>
      </w:r>
      <w:r>
        <w:rPr>
          <w:sz w:val="28"/>
        </w:rPr>
        <w:t xml:space="preserve"> территории Курской области</w:t>
      </w:r>
      <w:r>
        <w:rPr>
          <w:sz w:val="28"/>
        </w:rPr>
        <w:t>.».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 Пр</w:t>
      </w:r>
      <w:r>
        <w:rPr>
          <w:sz w:val="28"/>
        </w:rPr>
        <w:t>иложении 1 к указанному Порядку: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«05 1 Ч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00000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«Экономика замкнутого цикла (Курская область)»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05 1 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58090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Возмещение и финансовое обеспечение затрат регионального оператора по обращению с твердыми коммунальными отходами, осуществляющего деятельность в северо-восточной зоне Курской области»</w:t>
            </w:r>
            <w:r>
              <w:rPr>
                <w:sz w:val="28"/>
              </w:rPr>
              <w:t>;</w:t>
            </w:r>
          </w:p>
        </w:tc>
      </w:tr>
    </w:tbl>
    <w:p w14:paraId="1E000000">
      <w:pPr>
        <w:pStyle w:val="Style_4"/>
        <w:ind w:firstLine="709" w:left="0"/>
      </w:pPr>
      <w:r>
        <w:t>2) </w:t>
      </w:r>
      <w:r>
        <w:t>с</w:t>
      </w:r>
      <w:r>
        <w:t>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10 4 01 00000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Министерства по государственной охране объектов культурного наследия Курской области и подведомственных учреждений»</w:t>
            </w:r>
          </w:p>
        </w:tc>
      </w:tr>
    </w:tbl>
    <w:p w14:paraId="21000000">
      <w:pPr>
        <w:ind w:firstLine="851" w:left="0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«10 4 01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«Обеспечение деятельности управления по государственной охране объектов культурного наследия Курской области и подведомственных учреждений»</w:t>
            </w:r>
            <w:r>
              <w:rPr>
                <w:sz w:val="28"/>
              </w:rPr>
              <w:t>;</w:t>
            </w:r>
          </w:p>
        </w:tc>
      </w:tr>
    </w:tbl>
    <w:p w14:paraId="24000000">
      <w:pPr>
        <w:pStyle w:val="Style_4"/>
        <w:ind w:firstLine="709" w:left="0"/>
      </w:pPr>
      <w:r>
        <w:t>3) 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rPr>
          <w:trHeight w:hRule="atLeast" w:val="135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R8460</w:t>
            </w: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обмерных, обследовательских работ, разработка проектной документации и проведение ремонтно-восстановительных работ на объектах инфраструктуры, поврежденных в результате обстрелов со стороны вооруженных формирований Украины на территории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27000000">
      <w:pPr>
        <w:ind w:firstLine="851" w:left="0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rPr>
          <w:trHeight w:hRule="atLeast" w:val="31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R8460</w:t>
            </w:r>
          </w:p>
          <w:p w14:paraId="29000000">
            <w:pPr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обмерных, обследовательских работ, разработка проектной документации и проведение ремонтно-восстановительных работ на пострадавших </w:t>
            </w:r>
            <w:r>
              <w:rPr>
                <w:sz w:val="28"/>
              </w:rPr>
              <w:t>объектах капитального строительства на территории Курской области</w:t>
            </w:r>
            <w:r>
              <w:rPr>
                <w:sz w:val="28"/>
              </w:rPr>
              <w:t>».</w:t>
            </w:r>
          </w:p>
        </w:tc>
      </w:tr>
    </w:tbl>
    <w:p w14:paraId="2B000000">
      <w:pPr>
        <w:pStyle w:val="Style_4"/>
        <w:ind w:firstLine="709" w:left="0"/>
      </w:pPr>
      <w:r>
        <w:t>3. В Приложении 3 к указанному Порядку 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C000000">
            <w:pPr>
              <w:pStyle w:val="Style_2"/>
              <w:ind/>
              <w:jc w:val="both"/>
            </w:pPr>
            <w:r>
              <w:t>«836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D000000">
            <w:pPr>
              <w:pStyle w:val="Style_2"/>
              <w:ind/>
              <w:jc w:val="both"/>
            </w:pPr>
            <w:r>
              <w:t>Министерство по государственной охране объектов культурного наследия Курской области»</w:t>
            </w:r>
          </w:p>
        </w:tc>
      </w:tr>
    </w:tbl>
    <w:p w14:paraId="2E000000">
      <w:pPr>
        <w:pStyle w:val="Style_4"/>
        <w:ind w:firstLine="709" w:left="0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F000000">
            <w:pPr>
              <w:pStyle w:val="Style_2"/>
              <w:ind/>
              <w:jc w:val="both"/>
            </w:pPr>
            <w:r>
              <w:t>«836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0000000">
            <w:pPr>
              <w:pStyle w:val="Style_2"/>
              <w:ind/>
              <w:jc w:val="both"/>
            </w:pPr>
            <w:r>
              <w:t>Управление по государственной охране объектов культурного наследия Курской области».</w:t>
            </w:r>
          </w:p>
        </w:tc>
      </w:tr>
    </w:tbl>
    <w:p w14:paraId="31000000">
      <w:pPr>
        <w:pStyle w:val="Style_4"/>
        <w:ind w:firstLine="709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No Spacing"/>
    <w:link w:val="Style_10"/>
    <w:rPr>
      <w:rFonts w:ascii="Times New Roman" w:hAnsi="Times New Roman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msonormal_mr_css_attr"/>
    <w:basedOn w:val="Style_5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5_ch"/>
    <w:link w:val="Style_15"/>
  </w:style>
  <w:style w:styleId="Style_16" w:type="paragraph">
    <w:name w:val="s_1"/>
    <w:basedOn w:val="Style_5"/>
    <w:link w:val="Style_16_ch"/>
    <w:pPr>
      <w:spacing w:afterAutospacing="on" w:beforeAutospacing="on"/>
      <w:ind/>
    </w:pPr>
  </w:style>
  <w:style w:styleId="Style_16_ch" w:type="character">
    <w:name w:val="s_1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0" w:type="paragraph">
    <w:name w:val="Style4"/>
    <w:basedOn w:val="Style_5"/>
    <w:link w:val="Style_20_ch"/>
    <w:pPr>
      <w:widowControl w:val="0"/>
      <w:spacing w:line="546" w:lineRule="exact"/>
      <w:ind w:firstLine="552" w:left="0"/>
      <w:jc w:val="both"/>
    </w:pPr>
  </w:style>
  <w:style w:styleId="Style_20_ch" w:type="character">
    <w:name w:val="Style4"/>
    <w:basedOn w:val="Style_5_ch"/>
    <w:link w:val="Style_20"/>
  </w:style>
  <w:style w:styleId="Style_21" w:type="paragraph">
    <w:name w:val="List Paragraph"/>
    <w:basedOn w:val="Style_5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5_ch"/>
    <w:link w:val="Style_21"/>
    <w:rPr>
      <w:rFonts w:ascii="Calibri" w:hAnsi="Calibri"/>
      <w:sz w:val="22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ConsPlusNonformat"/>
    <w:link w:val="Style_23_ch"/>
    <w:pPr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basedOn w:val="Style_12"/>
    <w:link w:val="Style_25_ch"/>
    <w:rPr>
      <w:color w:val="0000FF"/>
      <w:u w:val="single"/>
    </w:rPr>
  </w:style>
  <w:style w:styleId="Style_25_ch" w:type="character">
    <w:name w:val="Hyperlink"/>
    <w:basedOn w:val="Style_12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ConsPlusTitlePage"/>
    <w:link w:val="Style_2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9_ch" w:type="character">
    <w:name w:val="ConsPlusTitlePage"/>
    <w:link w:val="Style_29"/>
    <w:rPr>
      <w:rFonts w:ascii="Tahoma" w:hAnsi="Tahoma"/>
      <w:sz w:val="20"/>
    </w:rPr>
  </w:style>
  <w:style w:styleId="Style_30" w:type="paragraph">
    <w:name w:val="highlightsearch"/>
    <w:basedOn w:val="Style_12"/>
    <w:link w:val="Style_30_ch"/>
  </w:style>
  <w:style w:styleId="Style_30_ch" w:type="character">
    <w:name w:val="highlightsearch"/>
    <w:basedOn w:val="Style_12_ch"/>
    <w:link w:val="Style_30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</w:style>
  <w:style w:styleId="Style_33_ch" w:type="character">
    <w:name w:val="Normal (Web)"/>
    <w:basedOn w:val="Style_5_ch"/>
    <w:link w:val="Style_33"/>
  </w:style>
  <w:style w:styleId="Style_34" w:type="paragraph">
    <w:name w:val="s_16"/>
    <w:basedOn w:val="Style_5"/>
    <w:link w:val="Style_34_ch"/>
    <w:pPr>
      <w:spacing w:afterAutospacing="on" w:beforeAutospacing="on"/>
      <w:ind/>
    </w:pPr>
  </w:style>
  <w:style w:styleId="Style_34_ch" w:type="character">
    <w:name w:val="s_16"/>
    <w:basedOn w:val="Style_5_ch"/>
    <w:link w:val="Style_34"/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2025-12-16T09:21:00Z</dcterms:modified>
</cp:coreProperties>
</file>