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</w:rPr>
        <w:t xml:space="preserve">Министерство восстано</w:t>
      </w:r>
      <w:r>
        <w:rPr>
          <w:rFonts w:ascii="Times New Roman" w:hAnsi="Times New Roman" w:cs="Times New Roman" w:eastAsia="Times New Roman"/>
          <w:sz w:val="28"/>
        </w:rPr>
        <w:t xml:space="preserve">вления, развития приграничья и строительства Курской области (далее - Министерство) сообщает о том, что </w:t>
      </w:r>
      <w:r>
        <w:rPr>
          <w:rFonts w:ascii="Times New Roman" w:hAnsi="Times New Roman" w:cs="Times New Roman" w:eastAsia="Times New Roman"/>
          <w:b/>
          <w:sz w:val="28"/>
        </w:rPr>
        <w:t xml:space="preserve">с 15.06.2026 по 30.12.2026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в целях реализации </w:t>
      </w:r>
      <w:r>
        <w:rPr>
          <w:rFonts w:ascii="Times New Roman" w:hAnsi="Times New Roman" w:cs="Times New Roman" w:eastAsia="Times New Roman"/>
          <w:sz w:val="28"/>
        </w:rPr>
        <w:t xml:space="preserve">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 w:eastAsia="Times New Roman"/>
          <w:sz w:val="28"/>
        </w:rPr>
        <w:t xml:space="preserve">, достижения целей </w:t>
      </w:r>
      <w:r>
        <w:rPr>
          <w:rFonts w:ascii="Times New Roman" w:hAnsi="Times New Roman" w:cs="Times New Roman" w:eastAsia="Times New Roman"/>
          <w:sz w:val="28"/>
        </w:rPr>
        <w:t xml:space="preserve">государственной программы Курской области «Обеспечение доступным и комфортным жильем и коммунальными услугами граждан в Курской области»</w:t>
      </w:r>
      <w:r>
        <w:rPr>
          <w:rFonts w:ascii="Times New Roman" w:hAnsi="Times New Roman" w:cs="Times New Roman" w:eastAsia="Times New Roman"/>
          <w:sz w:val="28"/>
        </w:rPr>
        <w:t xml:space="preserve">, утвержденной </w:t>
      </w:r>
      <w:r>
        <w:rPr>
          <w:rFonts w:ascii="Times New Roman" w:hAnsi="Times New Roman" w:cs="Times New Roman" w:eastAsia="Times New Roman"/>
          <w:sz w:val="28"/>
        </w:rPr>
        <w:t xml:space="preserve">постановлением Администрации Курской области от 11.10.2013 № 716-па</w:t>
      </w:r>
      <w:r>
        <w:rPr>
          <w:rFonts w:ascii="Times New Roman" w:hAnsi="Times New Roman" w:cs="Times New Roman" w:eastAsia="Times New Roman"/>
          <w:sz w:val="28"/>
        </w:rPr>
        <w:t xml:space="preserve">, в частности, исполнения региональных проектов «Ипотека» и «Жилье»</w:t>
      </w:r>
      <w:r>
        <w:rPr>
          <w:rFonts w:ascii="Times New Roman" w:hAnsi="Times New Roman" w:cs="Times New Roman" w:eastAsia="Times New Roman"/>
          <w:sz w:val="28"/>
        </w:rPr>
        <w:t xml:space="preserve">, будет реализована выдача </w:t>
      </w:r>
      <w:r>
        <w:rPr>
          <w:rFonts w:ascii="Times New Roman" w:hAnsi="Times New Roman" w:cs="Times New Roman" w:eastAsia="Times New Roman"/>
          <w:sz w:val="28"/>
        </w:rPr>
        <w:t xml:space="preserve">отдельным категориям граждан свидетельства о праве на заключение договора приобретения жилого помещения на территории Курской области с использованием льготного жилищного (ипотечного) кредита (займа) со сниженной процентной ставкой (далее - Свидетельство).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Выдача Свидетельств производится в соответствии с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Порядк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ом выдачи отдельным категориям граждан свидетельства о праве на заключение договора приобретения жилого помещения на территории Курской области с использованием льготного жилищного (ипотечного) кредита (займа) со сниженной процентной ставкой, утвержденным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постановлением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Администрации Курской области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от 21 сентября 2021 г. № 976-па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Право на заключение договора приобретения жилого помещения на территории Курской области с использованием льготного жилищного (ипотечного) кредита (займа) со сниженной процентной ставкой (далее - договор) возникает у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следующих категорий граждан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, постоянно п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роживающих на территории Курской области: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1) граждане, проживающие в жилых помещениях, признанных непригодными для проживания, и в многоквартирных домах, признанных аварийными и подлежащими сносу или реконструкции;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) граждане, имеющие 2 и более несовершеннолетних детей и являющиеся получателями материнского (семейного) капитала в соответствии с Федеральным законом от 29 декабря 2006 года № 256-ФЗ «О дополнительных мерах государственной поддержки семей, имеющих детей»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(при условии использования такого материнского (семейного) капитала на приобретение (строительство) жилья);</w:t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3) многодетные семьи - семьи, имеющие на дату заключения договора 3 или более детей в возрасте до 18 лет (обучающихся в образовательных организациях по очной форме обучения - до окончания ими обучения, но не старше 23 лет);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4) ветераны боевых действий;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5) инвалиды и семьи, имеющие детей-инвалидов;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6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) работники бюджетной сферы - работники бюджетных, казенных, автономных учреждений (организаций, созданных органами государственной власти Курской области, органами местного самоуправления муниципальных образований Курской области для осуществления управле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ческих, социально-культурных, научно-технических или иных функций некоммерческого характера), государственные гражданские служащие Курской области и муниципальные служащие Курской области, работники органов государственной власти Курской области и органов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местного самоуправления муниципальных образований Курской области, не относящиеся к государственным гражданским служащим и муниципальным служащим;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7) семьи, в которых возраст каждого из супругов либо одного родителя в неполной семье на день заключения договора не превышает 40 лет;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8) граждане, у которых первый и (или) последующие дети родились, начиная с 1 января 2018 года;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9) граждане - участники государственной программы по оказанию содействия добровольному переселению в Российскую Федерацию соотечественников, проживающих за рубежом;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10) граждане, должностные обязанности которых связаны с осуществлением деятельности в области информационных технологий в соответствии с профессиональными стандартами для специалистов в области информационных технологий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1) граждане, направлявшиеся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года, а также на территории Запорожской области и Херсонс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кой области с 30 сентября 2022 года, отработавшие установленный при направлении срок либо откомандированные досрочно по уважительной причине, или один из членов их семьи;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12) молодые специалисты, не старше 35 лет, завершившие обучение по программам высшего профессионального образования и работающие по полученной специальности до истечения пятилетнего срока с момента окончания образовательной организации;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3) граждане, переехавшие в Курскую область из других регионов, на территории которых введен режим "среднего уровня реагирования" в соответствии с пунктом 3 Указа Президента Российской Федерации от 19 октября 2022 года № 757 «О мерах, осуществляемых в субъе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ктах Российской Федерации в связи с Указом Президента Российской Федерации от 19 октября 2022 г. № 756»;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4) граждане, переехавшие в Курскую область из других регионов, на территории которых введен режим «максимальный уровень реагирования» в соответствии с пунктом 1 Указа Президента Российской Федерации от 19 октября 2022 года № 757 «О мерах, осуществляемых в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субъектах Российской Федерации в связи с Указом Президента Российской Федерации от 19 октября 2022 г. № 756»;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5) лица, поступившие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военной операции на терри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6) работники строительных организаций всех форм собственности, имеющих класс ОКВЭД 43, относящийся к «Разделу F - Строительство», привлекаемые на договорной основе для выполнения задач по фортификационному оборудованию рубежей на территории Курской области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или для выполнения восстановительно-строительных работ в зоне специальной военной операции или один из членов их семьи;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17) граждане, жилые помещения которых признаны непригодными для проживания в результате последствий взрывов взрывоопасных предметов на территории Курской области;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18) лица, принявшие на воспитание в свою семью ребенка, оставшегося без попечения родителей;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19) граждане, вступившие в добровольную народную дружину, сформированную на муниципальном уровне;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20) сотрудники органов внутренних дел, проходящие службу на территории Курской области;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1) граждане, проживающие в населенных пунктах пограничной зоны на территории Курской области, прилегающей к государственной границе Российской Федерации с Украиной в пределах, установленных приказом Федеральной службы безопасности Российской Федерации от 0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2.06.2006 № 247 «О пределах пограничной зоны на территории Курской области».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b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С целью получения Свидетельства граждане, указанные выше, не позднее 20 рабочих дней до даты заключения договора приобретения жилья, подают в Министерство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заявление, составленное по форме согласно прило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жению  к настоящей информации.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К заявлению прилагаются следующие документы (с учетом категории гражданина):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1) копии документов, удостоверяющих личность каждого члена семьи гражданина и подтверждающих правовые основания отнесения граждан к членам его семьи (паспорт, свидетельство о рождении, свидетельство о заключении брака);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) копии трудовой книжки или сведений о трудовой деятельности в электронном виде, заверенных электронной подписью Фонда пенсионного и социального страхования Российской Федерации либо трудового договора (служебного контракта) с работодателем на неопределенн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ый срок или срочный трудовой договор (служебный контракт) (для граждан, указанных в п. 6 категорий граждан);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3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) копия свидетельства 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№ 637 «О м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ерах по оказанию содействия добровольному переселению в Российскую Федерацию соотечественник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ов, проживающих за рубежом», установленного образца (для граждан, указанных в п. 9 категорий граждан);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4) копия решения органа местного самоуправления о признании занимаемого гражданином жилого помещения непригодным для проживания,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многоквартирного дома аварийным и подлежащим сносу или реконструкции (для граждан, указанн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ых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 п.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1 категорий граждан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5) копия государственного сертификата на материнский (семейный) капитал (для граждан, указанных в п. 2 категорий граждан);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6) копия документа, подтверждающего право гражданина на льготы, предусмотренные статьями 14, 16 Федерального закона от 12 января 1995 года № 5-ФЗ «О ветеранах» (для граждан, указанных в п. 4 категорий граждан);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7) копия документа, подтверждающего право гражданина на льготы, предусмотренные статьей 17 Федерального закона от 24 ноября 1995 года № 181-ФЗ «О социальной защите инвалидов в Российской Федерации» (для граждан, указанных в п. 5 категорий граждан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8) копия удостоверения многодетной семьи (для граждан, указанных в п. 3 категорий граждан);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b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9)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копия заключения о возможности предоставления льготного жилищного (ипотечного) кредита (займа) со сниженной процентной ставкой, выданного кредитной организацией гражданину, составленного в произвольной форме;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10) справка с места работы, подтверждающая осуществление работником деятельности в области информационных технологий, в соответствии с профессиональными стандартами для специалистов в области информационных технологий;</w:t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1) документы, подтверждающие факт участия гражданина в обеспечении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 и отработки установленного пр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и направлении для обеспечения выполнения указанных задач срока либо откомандирования досрочно по уважительной причине;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12) документов о наличии высшего профессионального образования и справки с места работы, подтверждающую деятельность по специальности;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3) документы, подтверждающие проживание на территории регионов, в которых введен режим «среднего уровня реагирования» в соответствии с пунктом 3 Указа Президента Российской Федерации от 19 октября 2022 года № 757 «О мерах, осуществляемых в субъектах Россий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ской Федерации в связи с Указом Президента Российской Федерации от 19 октября 2022 г. № 756»;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4) документы, подтверждающие проживание на территории регионов, в которых введен режим «максимальный уровень реагирования» в соответствии с пунктом 1 Указа Президента Российской Федерации от 19 октября 2022 года № 757 «О мерах, осуществляемых в субъектах Р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оссийской Федерации в связи с Указом Президента Российской Федерации от 19 октября 2022 г. № 756»;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5) документы, подтверждающие поступление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Федерации, в ходе специальной военн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16) заверенная копия трудового договора (соглашения), подтверждающего работу гражданина в строительной организации любой формы собственности, имеющей класс ОКВЭД 43, относящейся к «Разделу F - Строительство»;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17) справка с места работы, содержащая информацию о выполнении работником задач по фортификационному оборудованию рубежей на территории Курской области или восстановительно-строительных работ в зоне специальной военной операции;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18) копия правового акта муниципального образования Курской области о признании жилого дома гражданина непригодным для проживания в результате последствий взрывов взрывоопасных предметов на территории Курской области;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19) копия правового акта муниципального образования Курской области о принятии на воспитание в свою семью ребенка, оставшегося без попечения родителей или копия решения суда об усыновлении (удочерении);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0) документы, подтверждающие факт родства с гражданином, направлявшимся для обеспечения выполнения задач в ходе специальной военной операции на территории Украины, Донецкой Народной Республики и Луганской Народной Республики с 24 февраля 2022 года, а также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на территории Запорожской области и Херсонской области с 30 сентября 2022 года и отработавшим установленный при направлении срок либо откомандированным досрочно по уважительной причине;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1) документы, подтверждающие факт родства с гражданином-работником строительной организации всех форм собственности, имеющим класс ОКВЭД 43, относящийся к «Разделу F - Строительство», привлекаемым на договорной основе для выполнения задач по фортификационн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ому оборудованию рубежей на территории Курской области или для выполнения восстановительно-строительных работ в зоне специальной военной операции;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22) справка о том, что гражданин в настоящее время является членом добровольной народной дружины, выданная командиром добровольной народной дружины, удостоверение народного дружинника;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23) справка с места службы о том, что гражданин в настоящее время является сотрудником органов внутренних дел и проходит службу на территории Курской области, копия служебного удостоверения сотрудника органов внутренних дел;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</w:pPr>
      <w:r>
        <w:rPr>
          <w:rFonts w:ascii="Times New Roman" w:hAnsi="Times New Roman" w:cs="Times New Roman" w:eastAsia="Times New Roman"/>
          <w:sz w:val="28"/>
          <w:highlight w:val="none"/>
        </w:rPr>
        <w:t xml:space="preserve">2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4) документы, подтверждающие проживание в населенных пунктах пограничной зоны на территории Курской области, прилегающей к государственной границе Российской Федерации с Украиной в пределах, установленных приказом Федеральной службы безопасности Российской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Федерации от 02.06.2006 № 247 «О пределах пограничной зоны на территории Курской области»;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b w:val="false"/>
          <w:sz w:val="28"/>
          <w:highlight w:val="none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25) </w:t>
      </w:r>
      <w:r>
        <w:rPr>
          <w:rFonts w:ascii="Times New Roman" w:hAnsi="Times New Roman" w:cs="Times New Roman" w:eastAsia="Times New Roman"/>
          <w:b w:val="false"/>
          <w:sz w:val="28"/>
          <w:highlight w:val="none"/>
        </w:rPr>
        <w:t xml:space="preserve">согласие на обработку персональных данных.</w:t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b w:val="false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b w:val="false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Г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раждане несут ответственность за достоверность представляемых в Министерство строительства Курской области сведений и документов, дающих право на получение ипотечных кредитов (займов) на приобретение жилых помещений на территории Курской области со сниженн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ой процентной ставкой в соответствии с законодательством Российской Федерации.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Указанные документы предоставляются заявителем с одновременным предоставлением оригиналов. После проверки соответствия копии документов оригиналам оригиналы документов возвращаются заявителю.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Оформление и выдачу Свидетельства осуществляет Министерство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адресу: г. Курск, ул. Марата, д. 9 (кабинет №3) согласно следующему распорядку: 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По понедельникам и пятницам с 09:00 до 13:00, с 14:00 до 18:00 осуществляется прием документов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b/>
          <w:sz w:val="28"/>
          <w:highlight w:val="none"/>
        </w:rPr>
      </w:pP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По средам с 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  <w:t xml:space="preserve"> с 09:00 до 13:00, с 14:00 до 18:00 осуществляется выдача Свидетельств.</w:t>
      </w:r>
      <w:r>
        <w:rPr>
          <w:rFonts w:ascii="Times New Roman" w:hAnsi="Times New Roman" w:cs="Times New Roman" w:eastAsia="Times New Roman"/>
          <w:b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left="0" w:right="0" w:firstLine="709"/>
        <w:jc w:val="both"/>
        <w:spacing w:lineRule="auto" w:line="240" w:after="0" w:afterAutospacing="0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Срок действия Свидетельства составляет 1 месяц с даты выдачи, указанной в Свидетельстве.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shd w:val="nil" w:color="auto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link w:val="796"/>
    <w:uiPriority w:val="9"/>
    <w:rPr>
      <w:rFonts w:ascii="Arial" w:hAnsi="Arial" w:cs="Arial" w:eastAsia="Arial"/>
      <w:sz w:val="40"/>
      <w:szCs w:val="40"/>
    </w:rPr>
  </w:style>
  <w:style w:type="character" w:styleId="635">
    <w:name w:val="Heading 2 Char"/>
    <w:link w:val="797"/>
    <w:uiPriority w:val="9"/>
    <w:rPr>
      <w:rFonts w:ascii="Arial" w:hAnsi="Arial" w:cs="Arial" w:eastAsia="Arial"/>
      <w:sz w:val="34"/>
    </w:rPr>
  </w:style>
  <w:style w:type="character" w:styleId="636">
    <w:name w:val="Heading 3 Char"/>
    <w:link w:val="798"/>
    <w:uiPriority w:val="9"/>
    <w:rPr>
      <w:rFonts w:ascii="Arial" w:hAnsi="Arial" w:cs="Arial" w:eastAsia="Arial"/>
      <w:sz w:val="30"/>
      <w:szCs w:val="30"/>
    </w:rPr>
  </w:style>
  <w:style w:type="character" w:styleId="637">
    <w:name w:val="Heading 4 Char"/>
    <w:link w:val="799"/>
    <w:uiPriority w:val="9"/>
    <w:rPr>
      <w:rFonts w:ascii="Arial" w:hAnsi="Arial" w:cs="Arial" w:eastAsia="Arial"/>
      <w:b/>
      <w:bCs/>
      <w:sz w:val="26"/>
      <w:szCs w:val="26"/>
    </w:rPr>
  </w:style>
  <w:style w:type="character" w:styleId="638">
    <w:name w:val="Heading 5 Char"/>
    <w:link w:val="800"/>
    <w:uiPriority w:val="9"/>
    <w:rPr>
      <w:rFonts w:ascii="Arial" w:hAnsi="Arial" w:cs="Arial" w:eastAsia="Arial"/>
      <w:b/>
      <w:bCs/>
      <w:sz w:val="24"/>
      <w:szCs w:val="24"/>
    </w:rPr>
  </w:style>
  <w:style w:type="character" w:styleId="639">
    <w:name w:val="Heading 6 Char"/>
    <w:link w:val="801"/>
    <w:uiPriority w:val="9"/>
    <w:rPr>
      <w:rFonts w:ascii="Arial" w:hAnsi="Arial" w:cs="Arial" w:eastAsia="Arial"/>
      <w:b/>
      <w:bCs/>
      <w:sz w:val="22"/>
      <w:szCs w:val="22"/>
    </w:rPr>
  </w:style>
  <w:style w:type="character" w:styleId="640">
    <w:name w:val="Heading 7 Char"/>
    <w:link w:val="80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41">
    <w:name w:val="Heading 8 Char"/>
    <w:link w:val="803"/>
    <w:uiPriority w:val="9"/>
    <w:rPr>
      <w:rFonts w:ascii="Arial" w:hAnsi="Arial" w:cs="Arial" w:eastAsia="Arial"/>
      <w:i/>
      <w:iCs/>
      <w:sz w:val="22"/>
      <w:szCs w:val="22"/>
    </w:rPr>
  </w:style>
  <w:style w:type="character" w:styleId="642">
    <w:name w:val="Heading 9 Char"/>
    <w:link w:val="804"/>
    <w:uiPriority w:val="9"/>
    <w:rPr>
      <w:rFonts w:ascii="Arial" w:hAnsi="Arial" w:cs="Arial" w:eastAsia="Arial"/>
      <w:i/>
      <w:iCs/>
      <w:sz w:val="21"/>
      <w:szCs w:val="21"/>
    </w:rPr>
  </w:style>
  <w:style w:type="character" w:styleId="643">
    <w:name w:val="Title Char"/>
    <w:link w:val="813"/>
    <w:uiPriority w:val="10"/>
    <w:rPr>
      <w:sz w:val="48"/>
      <w:szCs w:val="48"/>
    </w:rPr>
  </w:style>
  <w:style w:type="character" w:styleId="644">
    <w:name w:val="Subtitle Char"/>
    <w:link w:val="811"/>
    <w:uiPriority w:val="11"/>
    <w:rPr>
      <w:sz w:val="24"/>
      <w:szCs w:val="24"/>
    </w:rPr>
  </w:style>
  <w:style w:type="character" w:styleId="645">
    <w:name w:val="Quote Char"/>
    <w:link w:val="810"/>
    <w:uiPriority w:val="29"/>
    <w:rPr>
      <w:i/>
    </w:rPr>
  </w:style>
  <w:style w:type="character" w:styleId="646">
    <w:name w:val="Intense Quote Char"/>
    <w:link w:val="812"/>
    <w:uiPriority w:val="30"/>
    <w:rPr>
      <w:i/>
    </w:rPr>
  </w:style>
  <w:style w:type="character" w:styleId="647">
    <w:name w:val="Header Char"/>
    <w:link w:val="808"/>
    <w:uiPriority w:val="99"/>
  </w:style>
  <w:style w:type="character" w:styleId="648">
    <w:name w:val="Footer Char"/>
    <w:link w:val="807"/>
    <w:uiPriority w:val="99"/>
  </w:style>
  <w:style w:type="paragraph" w:styleId="649">
    <w:name w:val="Caption"/>
    <w:basedOn w:val="795"/>
    <w:next w:val="79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0">
    <w:name w:val="Caption Char"/>
    <w:basedOn w:val="649"/>
    <w:link w:val="807"/>
    <w:uiPriority w:val="99"/>
  </w:style>
  <w:style w:type="table" w:styleId="651">
    <w:name w:val="Table Grid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2">
    <w:name w:val="Table Grid Light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3">
    <w:name w:val="Plain Table 1"/>
    <w:basedOn w:val="80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4">
    <w:name w:val="Plain Table 2"/>
    <w:basedOn w:val="80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5">
    <w:name w:val="Plain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6">
    <w:name w:val="Plain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7">
    <w:name w:val="Plain Table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58">
    <w:name w:val="Grid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9">
    <w:name w:val="Grid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Grid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Grid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66">
    <w:name w:val="Grid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67">
    <w:name w:val="Grid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68">
    <w:name w:val="Grid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69">
    <w:name w:val="Grid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0">
    <w:name w:val="Grid Table 4 - Accent 1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1">
    <w:name w:val="Grid Table 4 - Accent 2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2">
    <w:name w:val="Grid Table 4 - Accent 3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3">
    <w:name w:val="Grid Table 4 - Accent 4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4">
    <w:name w:val="Grid Table 4 - Accent 5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5">
    <w:name w:val="Grid Table 4 - Accent 6"/>
    <w:basedOn w:val="80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86">
    <w:name w:val="Grid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7">
    <w:name w:val="Grid Table 5 Dark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688">
    <w:name w:val="Grid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689">
    <w:name w:val="Grid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690">
    <w:name w:val="Grid Table 5 Dark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691">
    <w:name w:val="Grid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692">
    <w:name w:val="Grid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693">
    <w:name w:val="Grid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4">
    <w:name w:val="Grid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5">
    <w:name w:val="Grid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6">
    <w:name w:val="Grid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97">
    <w:name w:val="Grid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98">
    <w:name w:val="Grid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9">
    <w:name w:val="Grid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0">
    <w:name w:val="Grid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List Table 1 Light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List Table 1 Light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List Table 1 Light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List Table 1 Light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1 Light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List Table 1 Light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5">
    <w:name w:val="List Table 2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16">
    <w:name w:val="List Table 2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17">
    <w:name w:val="List Table 2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18">
    <w:name w:val="List Table 2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19">
    <w:name w:val="List Table 2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0">
    <w:name w:val="List Table 2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1">
    <w:name w:val="List Table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3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3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3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4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4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5 Dark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6">
    <w:name w:val="List Table 5 Dark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7">
    <w:name w:val="List Table 5 Dark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8">
    <w:name w:val="List Table 5 Dark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6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3">
    <w:name w:val="List Table 6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4">
    <w:name w:val="List Table 6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5">
    <w:name w:val="List Table 6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46">
    <w:name w:val="List Table 6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47">
    <w:name w:val="List Table 6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48">
    <w:name w:val="List Table 6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49">
    <w:name w:val="List Table 7 Colorful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0">
    <w:name w:val="List Table 7 Colorful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1">
    <w:name w:val="List Table 7 Colorful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52">
    <w:name w:val="List Table 7 Colorful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53">
    <w:name w:val="List Table 7 Colorful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54">
    <w:name w:val="List Table 7 Colorful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55">
    <w:name w:val="List Table 7 Colorful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56">
    <w:name w:val="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57">
    <w:name w:val="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58">
    <w:name w:val="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59">
    <w:name w:val="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0">
    <w:name w:val="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1">
    <w:name w:val="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2">
    <w:name w:val="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63">
    <w:name w:val="Bordered &amp; Lined - Accent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64">
    <w:name w:val="Bordered &amp; Lined - Accent 1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65">
    <w:name w:val="Bordered &amp; Lined - Accent 2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66">
    <w:name w:val="Bordered &amp; Lined - Accent 3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67">
    <w:name w:val="Bordered &amp; Lined - Accent 4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68">
    <w:name w:val="Bordered &amp; Lined - Accent 5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69">
    <w:name w:val="Bordered &amp; Lined - Accent 6"/>
    <w:basedOn w:val="80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0">
    <w:name w:val="Bordered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71">
    <w:name w:val="Bordered - Accent 1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72">
    <w:name w:val="Bordered - Accent 2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73">
    <w:name w:val="Bordered - Accent 3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74">
    <w:name w:val="Bordered - Accent 4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75">
    <w:name w:val="Bordered - Accent 5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76">
    <w:name w:val="Bordered - Accent 6"/>
    <w:basedOn w:val="80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77">
    <w:name w:val="Hyperlink"/>
    <w:uiPriority w:val="99"/>
    <w:unhideWhenUsed/>
    <w:rPr>
      <w:color w:val="0000FF" w:themeColor="hyperlink"/>
      <w:u w:val="single"/>
    </w:rPr>
  </w:style>
  <w:style w:type="paragraph" w:styleId="778">
    <w:name w:val="footnote text"/>
    <w:basedOn w:val="795"/>
    <w:link w:val="779"/>
    <w:uiPriority w:val="99"/>
    <w:semiHidden/>
    <w:unhideWhenUsed/>
    <w:rPr>
      <w:sz w:val="18"/>
    </w:rPr>
    <w:pPr>
      <w:spacing w:lineRule="auto" w:line="240" w:after="40"/>
    </w:pPr>
  </w:style>
  <w:style w:type="character" w:styleId="779">
    <w:name w:val="Footnote Text Char"/>
    <w:link w:val="778"/>
    <w:uiPriority w:val="99"/>
    <w:rPr>
      <w:sz w:val="18"/>
    </w:rPr>
  </w:style>
  <w:style w:type="character" w:styleId="780">
    <w:name w:val="footnote reference"/>
    <w:uiPriority w:val="99"/>
    <w:unhideWhenUsed/>
    <w:rPr>
      <w:vertAlign w:val="superscript"/>
    </w:rPr>
  </w:style>
  <w:style w:type="paragraph" w:styleId="781">
    <w:name w:val="endnote text"/>
    <w:basedOn w:val="795"/>
    <w:link w:val="782"/>
    <w:uiPriority w:val="99"/>
    <w:semiHidden/>
    <w:unhideWhenUsed/>
    <w:rPr>
      <w:sz w:val="20"/>
    </w:rPr>
    <w:pPr>
      <w:spacing w:lineRule="auto" w:line="240" w:after="0"/>
    </w:pPr>
  </w:style>
  <w:style w:type="character" w:styleId="782">
    <w:name w:val="Endnote Text Char"/>
    <w:link w:val="781"/>
    <w:uiPriority w:val="99"/>
    <w:rPr>
      <w:sz w:val="20"/>
    </w:rPr>
  </w:style>
  <w:style w:type="character" w:styleId="783">
    <w:name w:val="endnote reference"/>
    <w:uiPriority w:val="99"/>
    <w:semiHidden/>
    <w:unhideWhenUsed/>
    <w:rPr>
      <w:vertAlign w:val="superscript"/>
    </w:rPr>
  </w:style>
  <w:style w:type="paragraph" w:styleId="784">
    <w:name w:val="toc 1"/>
    <w:basedOn w:val="795"/>
    <w:next w:val="795"/>
    <w:uiPriority w:val="39"/>
    <w:unhideWhenUsed/>
    <w:pPr>
      <w:ind w:left="0" w:right="0" w:firstLine="0"/>
      <w:spacing w:after="57"/>
    </w:pPr>
  </w:style>
  <w:style w:type="paragraph" w:styleId="785">
    <w:name w:val="toc 2"/>
    <w:basedOn w:val="795"/>
    <w:next w:val="795"/>
    <w:uiPriority w:val="39"/>
    <w:unhideWhenUsed/>
    <w:pPr>
      <w:ind w:left="283" w:right="0" w:firstLine="0"/>
      <w:spacing w:after="57"/>
    </w:pPr>
  </w:style>
  <w:style w:type="paragraph" w:styleId="786">
    <w:name w:val="toc 3"/>
    <w:basedOn w:val="795"/>
    <w:next w:val="795"/>
    <w:uiPriority w:val="39"/>
    <w:unhideWhenUsed/>
    <w:pPr>
      <w:ind w:left="567" w:right="0" w:firstLine="0"/>
      <w:spacing w:after="57"/>
    </w:pPr>
  </w:style>
  <w:style w:type="paragraph" w:styleId="787">
    <w:name w:val="toc 4"/>
    <w:basedOn w:val="795"/>
    <w:next w:val="795"/>
    <w:uiPriority w:val="39"/>
    <w:unhideWhenUsed/>
    <w:pPr>
      <w:ind w:left="850" w:right="0" w:firstLine="0"/>
      <w:spacing w:after="57"/>
    </w:pPr>
  </w:style>
  <w:style w:type="paragraph" w:styleId="788">
    <w:name w:val="toc 5"/>
    <w:basedOn w:val="795"/>
    <w:next w:val="795"/>
    <w:uiPriority w:val="39"/>
    <w:unhideWhenUsed/>
    <w:pPr>
      <w:ind w:left="1134" w:right="0" w:firstLine="0"/>
      <w:spacing w:after="57"/>
    </w:pPr>
  </w:style>
  <w:style w:type="paragraph" w:styleId="789">
    <w:name w:val="toc 6"/>
    <w:basedOn w:val="795"/>
    <w:next w:val="795"/>
    <w:uiPriority w:val="39"/>
    <w:unhideWhenUsed/>
    <w:pPr>
      <w:ind w:left="1417" w:right="0" w:firstLine="0"/>
      <w:spacing w:after="57"/>
    </w:pPr>
  </w:style>
  <w:style w:type="paragraph" w:styleId="790">
    <w:name w:val="toc 7"/>
    <w:basedOn w:val="795"/>
    <w:next w:val="795"/>
    <w:uiPriority w:val="39"/>
    <w:unhideWhenUsed/>
    <w:pPr>
      <w:ind w:left="1701" w:right="0" w:firstLine="0"/>
      <w:spacing w:after="57"/>
    </w:pPr>
  </w:style>
  <w:style w:type="paragraph" w:styleId="791">
    <w:name w:val="toc 8"/>
    <w:basedOn w:val="795"/>
    <w:next w:val="795"/>
    <w:uiPriority w:val="39"/>
    <w:unhideWhenUsed/>
    <w:pPr>
      <w:ind w:left="1984" w:right="0" w:firstLine="0"/>
      <w:spacing w:after="57"/>
    </w:pPr>
  </w:style>
  <w:style w:type="paragraph" w:styleId="792">
    <w:name w:val="toc 9"/>
    <w:basedOn w:val="795"/>
    <w:next w:val="795"/>
    <w:uiPriority w:val="39"/>
    <w:unhideWhenUsed/>
    <w:pPr>
      <w:ind w:left="2268" w:right="0" w:firstLine="0"/>
      <w:spacing w:after="57"/>
    </w:pPr>
  </w:style>
  <w:style w:type="paragraph" w:styleId="793">
    <w:name w:val="TOC Heading"/>
    <w:uiPriority w:val="39"/>
    <w:unhideWhenUsed/>
  </w:style>
  <w:style w:type="paragraph" w:styleId="794">
    <w:name w:val="table of figures"/>
    <w:basedOn w:val="795"/>
    <w:next w:val="795"/>
    <w:uiPriority w:val="99"/>
    <w:unhideWhenUsed/>
    <w:pPr>
      <w:spacing w:after="0" w:afterAutospacing="0"/>
    </w:pPr>
  </w:style>
  <w:style w:type="paragraph" w:styleId="795" w:default="1">
    <w:name w:val="Normal"/>
    <w:qFormat/>
  </w:style>
  <w:style w:type="paragraph" w:styleId="796">
    <w:name w:val="Heading 1"/>
    <w:basedOn w:val="795"/>
    <w:next w:val="795"/>
    <w:qFormat/>
    <w:uiPriority w:val="9"/>
    <w:rPr>
      <w:rFonts w:asciiTheme="majorHAnsi" w:hAnsiTheme="majorHAnsi" w:eastAsiaTheme="majorEastAsia" w:cstheme="majorBidi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797">
    <w:name w:val="Heading 2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798">
    <w:name w:val="Heading 3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799">
    <w:name w:val="Heading 4"/>
    <w:basedOn w:val="795"/>
    <w:next w:val="795"/>
    <w:qFormat/>
    <w:uiPriority w:val="9"/>
    <w:unhideWhenUsed/>
    <w:rPr>
      <w:rFonts w:asciiTheme="majorHAnsi" w:hAnsiTheme="majorHAnsi" w:eastAsiaTheme="majorEastAsia" w:cstheme="majorBidi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800">
    <w:name w:val="Heading 5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801">
    <w:name w:val="Heading 6"/>
    <w:basedOn w:val="795"/>
    <w:next w:val="795"/>
    <w:qFormat/>
    <w:uiPriority w:val="9"/>
    <w:unhideWhenUsed/>
    <w:rPr>
      <w:rFonts w:asciiTheme="majorHAnsi" w:hAnsiTheme="majorHAnsi" w:eastAsiaTheme="majorEastAsia" w:cstheme="majorBidi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802">
    <w:name w:val="Heading 7"/>
    <w:basedOn w:val="795"/>
    <w:next w:val="795"/>
    <w:qFormat/>
    <w:uiPriority w:val="9"/>
    <w:unhideWhenUsed/>
    <w:rPr>
      <w:rFonts w:asciiTheme="majorHAnsi" w:hAnsiTheme="majorHAnsi" w:eastAsiaTheme="majorEastAsia" w:cstheme="majorBidi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803">
    <w:name w:val="Heading 8"/>
    <w:basedOn w:val="795"/>
    <w:next w:val="795"/>
    <w:qFormat/>
    <w:uiPriority w:val="9"/>
    <w:unhideWhenUsed/>
    <w:rPr>
      <w:rFonts w:asciiTheme="majorHAnsi" w:hAnsiTheme="majorHAnsi" w:eastAsiaTheme="majorEastAsia" w:cstheme="majorBidi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804">
    <w:name w:val="Heading 9"/>
    <w:basedOn w:val="795"/>
    <w:next w:val="795"/>
    <w:qFormat/>
    <w:uiPriority w:val="9"/>
    <w:unhideWhenUsed/>
    <w:rPr>
      <w:rFonts w:asciiTheme="majorHAnsi" w:hAnsiTheme="majorHAnsi" w:eastAsiaTheme="majorEastAsia" w:cstheme="majorBidi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8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6" w:default="1">
    <w:name w:val="No List"/>
    <w:uiPriority w:val="99"/>
    <w:semiHidden/>
    <w:unhideWhenUsed/>
  </w:style>
  <w:style w:type="paragraph" w:styleId="807">
    <w:name w:val="Foot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8">
    <w:name w:val="Header"/>
    <w:basedOn w:val="795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809">
    <w:name w:val="No Spacing"/>
    <w:basedOn w:val="795"/>
    <w:qFormat/>
    <w:uiPriority w:val="1"/>
    <w:pPr>
      <w:spacing w:lineRule="auto" w:line="240" w:after="0"/>
    </w:pPr>
  </w:style>
  <w:style w:type="paragraph" w:styleId="810">
    <w:name w:val="Quote"/>
    <w:basedOn w:val="795"/>
    <w:next w:val="795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811">
    <w:name w:val="Subtitle"/>
    <w:basedOn w:val="795"/>
    <w:next w:val="795"/>
    <w:qFormat/>
    <w:uiPriority w:val="11"/>
    <w:rPr>
      <w:rFonts w:asciiTheme="majorHAnsi" w:hAnsiTheme="majorHAnsi" w:eastAsiaTheme="majorEastAsia" w:cstheme="majorBidi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812">
    <w:name w:val="Intense Quote"/>
    <w:basedOn w:val="795"/>
    <w:next w:val="795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auto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813">
    <w:name w:val="Title"/>
    <w:basedOn w:val="795"/>
    <w:next w:val="795"/>
    <w:qFormat/>
    <w:uiPriority w:val="10"/>
    <w:rPr>
      <w:rFonts w:asciiTheme="majorHAnsi" w:hAnsiTheme="majorHAnsi" w:eastAsiaTheme="majorEastAsia" w:cstheme="majorBidi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814">
    <w:name w:val="List Paragraph"/>
    <w:basedOn w:val="795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2026-06-08T11:27:10Z</dcterms:modified>
</cp:coreProperties>
</file>