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016" w:rsidRPr="00D42242" w:rsidRDefault="00127016" w:rsidP="00127016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 </w:t>
      </w:r>
      <w:r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                                                                               </w:t>
      </w:r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>УТВЕРЖДЕН</w:t>
      </w:r>
    </w:p>
    <w:p w:rsidR="00127016" w:rsidRPr="00D42242" w:rsidRDefault="00127016" w:rsidP="00127016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ab/>
        <w:t xml:space="preserve">    </w:t>
      </w:r>
      <w:proofErr w:type="gramStart"/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>приказом</w:t>
      </w:r>
      <w:proofErr w:type="gramEnd"/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комитета </w:t>
      </w:r>
    </w:p>
    <w:p w:rsidR="00127016" w:rsidRPr="00D42242" w:rsidRDefault="00127016" w:rsidP="00127016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ab/>
        <w:t xml:space="preserve"> </w:t>
      </w:r>
      <w:proofErr w:type="gramStart"/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>строительства</w:t>
      </w:r>
      <w:proofErr w:type="gramEnd"/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Курской области</w:t>
      </w:r>
    </w:p>
    <w:p w:rsidR="00127016" w:rsidRPr="00D42242" w:rsidRDefault="00127016" w:rsidP="00127016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                                                 </w:t>
      </w:r>
      <w:r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                          </w:t>
      </w:r>
      <w:proofErr w:type="gramStart"/>
      <w:r>
        <w:rPr>
          <w:rFonts w:ascii="Times New Roman" w:hAnsi="Times New Roman"/>
          <w:color w:val="000000" w:themeColor="text1"/>
          <w:sz w:val="27"/>
          <w:szCs w:val="27"/>
          <w:lang w:eastAsia="ru-RU"/>
        </w:rPr>
        <w:t>от</w:t>
      </w:r>
      <w:proofErr w:type="gramEnd"/>
      <w:r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«26</w:t>
      </w:r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» </w:t>
      </w:r>
      <w:r>
        <w:rPr>
          <w:rFonts w:ascii="Times New Roman" w:hAnsi="Times New Roman"/>
          <w:color w:val="000000" w:themeColor="text1"/>
          <w:sz w:val="27"/>
          <w:szCs w:val="27"/>
          <w:lang w:eastAsia="ru-RU"/>
        </w:rPr>
        <w:t>февраля</w:t>
      </w:r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 xml:space="preserve"> 2019 г.</w:t>
      </w:r>
    </w:p>
    <w:p w:rsidR="00127016" w:rsidRPr="00D42242" w:rsidRDefault="00127016" w:rsidP="00127016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  <w:r w:rsidRPr="00D42242">
        <w:rPr>
          <w:rFonts w:ascii="Times New Roman" w:hAnsi="Times New Roman"/>
          <w:color w:val="000000" w:themeColor="text1"/>
          <w:sz w:val="27"/>
          <w:szCs w:val="27"/>
          <w:lang w:eastAsia="ru-RU"/>
        </w:rPr>
        <w:tab/>
        <w:t xml:space="preserve">  № </w:t>
      </w:r>
      <w:r>
        <w:rPr>
          <w:rFonts w:ascii="Times New Roman" w:hAnsi="Times New Roman"/>
          <w:color w:val="000000" w:themeColor="text1"/>
          <w:sz w:val="27"/>
          <w:szCs w:val="27"/>
          <w:lang w:eastAsia="ru-RU"/>
        </w:rPr>
        <w:t>43</w:t>
      </w:r>
    </w:p>
    <w:p w:rsidR="00127016" w:rsidRPr="00D42242" w:rsidRDefault="00127016" w:rsidP="00127016">
      <w:pPr>
        <w:tabs>
          <w:tab w:val="left" w:pos="520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7"/>
          <w:szCs w:val="27"/>
          <w:lang w:eastAsia="ru-RU"/>
        </w:rPr>
      </w:pPr>
    </w:p>
    <w:p w:rsidR="00127016" w:rsidRPr="00D42242" w:rsidRDefault="00127016" w:rsidP="00127016">
      <w:pPr>
        <w:pStyle w:val="ConsPlusTitle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D42242">
        <w:rPr>
          <w:rFonts w:ascii="Times New Roman" w:hAnsi="Times New Roman" w:cs="Times New Roman"/>
          <w:sz w:val="27"/>
          <w:szCs w:val="27"/>
        </w:rPr>
        <w:t xml:space="preserve">ПОЛОЖЕНИЕ </w:t>
      </w:r>
    </w:p>
    <w:p w:rsidR="00127016" w:rsidRPr="00D42242" w:rsidRDefault="00127016" w:rsidP="00127016">
      <w:pPr>
        <w:pStyle w:val="ConsPlusTitle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D42242">
        <w:rPr>
          <w:rFonts w:ascii="Times New Roman" w:hAnsi="Times New Roman" w:cs="Times New Roman"/>
          <w:sz w:val="27"/>
          <w:szCs w:val="27"/>
        </w:rPr>
        <w:t>об</w:t>
      </w:r>
      <w:proofErr w:type="gramEnd"/>
      <w:r w:rsidRPr="00D42242">
        <w:rPr>
          <w:rFonts w:ascii="Times New Roman" w:hAnsi="Times New Roman" w:cs="Times New Roman"/>
          <w:sz w:val="27"/>
          <w:szCs w:val="27"/>
        </w:rPr>
        <w:t xml:space="preserve"> организации системы внутреннего обеспечения </w:t>
      </w:r>
    </w:p>
    <w:p w:rsidR="00127016" w:rsidRPr="00D42242" w:rsidRDefault="00127016" w:rsidP="00127016">
      <w:pPr>
        <w:pStyle w:val="ConsPlusTitle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D42242">
        <w:rPr>
          <w:rFonts w:ascii="Times New Roman" w:hAnsi="Times New Roman" w:cs="Times New Roman"/>
          <w:sz w:val="27"/>
          <w:szCs w:val="27"/>
        </w:rPr>
        <w:t>соответствия</w:t>
      </w:r>
      <w:proofErr w:type="gramEnd"/>
      <w:r w:rsidRPr="00D42242">
        <w:rPr>
          <w:rFonts w:ascii="Times New Roman" w:hAnsi="Times New Roman" w:cs="Times New Roman"/>
          <w:sz w:val="27"/>
          <w:szCs w:val="27"/>
        </w:rPr>
        <w:t xml:space="preserve"> требованиям антимонопольного законодательства в комитете строительства Курской области</w:t>
      </w:r>
    </w:p>
    <w:p w:rsidR="00127016" w:rsidRPr="007D252A" w:rsidRDefault="00127016" w:rsidP="00127016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27016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D252A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127016" w:rsidRPr="007D252A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27016" w:rsidRPr="00AA332F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1.1. Настоящее Положение разработано </w:t>
      </w:r>
      <w:r w:rsidRPr="00AA332F">
        <w:rPr>
          <w:rFonts w:ascii="Times New Roman" w:hAnsi="Times New Roman" w:cs="Times New Roman"/>
          <w:sz w:val="27"/>
          <w:szCs w:val="27"/>
          <w:lang w:eastAsia="ar-SA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</w:t>
      </w:r>
      <w:r w:rsidRPr="00AA332F">
        <w:rPr>
          <w:rFonts w:ascii="Times New Roman" w:hAnsi="Times New Roman" w:cs="Times New Roman"/>
          <w:sz w:val="27"/>
          <w:szCs w:val="27"/>
          <w:lang w:eastAsia="en-US"/>
        </w:rPr>
        <w:t xml:space="preserve"> распоряжения Правительства Российской Федерации от 18.10.2018 № 2258-р</w:t>
      </w:r>
      <w:r w:rsidRPr="00AA332F">
        <w:rPr>
          <w:rFonts w:ascii="Times New Roman" w:hAnsi="Times New Roman" w:cs="Times New Roman"/>
          <w:sz w:val="27"/>
          <w:szCs w:val="27"/>
        </w:rPr>
        <w:t xml:space="preserve"> «</w:t>
      </w:r>
      <w:r w:rsidRPr="00AA332F">
        <w:rPr>
          <w:rFonts w:ascii="Times New Roman" w:hAnsi="Times New Roman" w:cs="Times New Roman"/>
          <w:sz w:val="27"/>
          <w:szCs w:val="27"/>
          <w:lang w:eastAsia="en-US"/>
        </w:rPr>
        <w:t>О методических рекомендациях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законодательства»</w:t>
      </w:r>
      <w:r w:rsidRPr="00AA332F">
        <w:rPr>
          <w:rFonts w:ascii="Times New Roman" w:hAnsi="Times New Roman" w:cs="Times New Roman"/>
          <w:sz w:val="27"/>
          <w:szCs w:val="27"/>
          <w:lang w:eastAsia="ar-SA"/>
        </w:rPr>
        <w:t xml:space="preserve"> и определяет порядок</w:t>
      </w:r>
      <w:r w:rsidRPr="00AA332F">
        <w:rPr>
          <w:rFonts w:ascii="Times New Roman" w:hAnsi="Times New Roman" w:cs="Times New Roman"/>
          <w:sz w:val="27"/>
          <w:szCs w:val="27"/>
        </w:rPr>
        <w:t xml:space="preserve"> внутреннего обеспечения соответствия требованиям антимонопольного законодательства в комитете строительства Курской области (далее – антимонопольный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1.2. 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1.3. Целями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 xml:space="preserve"> являются: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обеспечение соответствия деятельности </w:t>
      </w:r>
      <w:r>
        <w:rPr>
          <w:rFonts w:ascii="Times New Roman" w:hAnsi="Times New Roman" w:cs="Times New Roman"/>
          <w:sz w:val="27"/>
          <w:szCs w:val="27"/>
        </w:rPr>
        <w:t xml:space="preserve">комитета строительства Курской области (далее – комитет) </w:t>
      </w:r>
      <w:r w:rsidRPr="00AA332F">
        <w:rPr>
          <w:rFonts w:ascii="Times New Roman" w:hAnsi="Times New Roman" w:cs="Times New Roman"/>
          <w:sz w:val="27"/>
          <w:szCs w:val="27"/>
        </w:rPr>
        <w:t>требованиям антимонопольного законодательства;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профилактика и сокращение количества нарушений требований антимонопольного законодательства в деятельности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>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повышение уровня правовой культуры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1.4. Задачи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: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– выявление рисков нарушений антимонопольного законодательства;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– управление рисками нарушений антимонопольного законодательства;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контроль соответствия деятельности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>требованиям антимонопольного законодательства;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оценка эффективности организации </w:t>
      </w:r>
      <w:r>
        <w:rPr>
          <w:rFonts w:ascii="Times New Roman" w:hAnsi="Times New Roman" w:cs="Times New Roman"/>
          <w:sz w:val="27"/>
          <w:szCs w:val="27"/>
        </w:rPr>
        <w:t xml:space="preserve">в комитете </w:t>
      </w:r>
      <w:r w:rsidRPr="00AA332F">
        <w:rPr>
          <w:rFonts w:ascii="Times New Roman" w:hAnsi="Times New Roman" w:cs="Times New Roman"/>
          <w:sz w:val="27"/>
          <w:szCs w:val="27"/>
        </w:rPr>
        <w:t xml:space="preserve">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1.5. Принципы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:</w:t>
      </w:r>
    </w:p>
    <w:p w:rsidR="00127016" w:rsidRPr="00AA332F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– законность;</w:t>
      </w:r>
    </w:p>
    <w:p w:rsidR="00127016" w:rsidRPr="00AA332F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– регулярность оценки рисков нарушения антимонопольного законодательства;</w:t>
      </w:r>
    </w:p>
    <w:p w:rsidR="00127016" w:rsidRPr="00AA332F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информационная открытость действующего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 xml:space="preserve"> </w:t>
      </w:r>
      <w:r w:rsidRPr="00AA332F">
        <w:rPr>
          <w:rFonts w:ascii="Times New Roman" w:hAnsi="Times New Roman" w:cs="Times New Roman"/>
          <w:sz w:val="27"/>
          <w:szCs w:val="27"/>
        </w:rPr>
        <w:lastRenderedPageBreak/>
        <w:t xml:space="preserve">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;</w:t>
      </w:r>
    </w:p>
    <w:p w:rsidR="00127016" w:rsidRPr="00AA332F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непрерывность анализа и функционирования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;</w:t>
      </w:r>
    </w:p>
    <w:p w:rsidR="00127016" w:rsidRPr="00AA332F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совершенствование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7D252A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127016" w:rsidRDefault="00127016" w:rsidP="00127016">
      <w:pPr>
        <w:spacing w:after="0" w:line="240" w:lineRule="auto"/>
        <w:ind w:firstLine="680"/>
        <w:jc w:val="center"/>
        <w:rPr>
          <w:rFonts w:ascii="Times New Roman" w:hAnsi="Times New Roman"/>
          <w:b/>
          <w:bCs/>
          <w:sz w:val="26"/>
          <w:szCs w:val="26"/>
        </w:rPr>
      </w:pPr>
      <w:r w:rsidRPr="007D252A">
        <w:rPr>
          <w:rFonts w:ascii="Times New Roman" w:hAnsi="Times New Roman"/>
          <w:b/>
          <w:bCs/>
          <w:sz w:val="26"/>
          <w:szCs w:val="26"/>
        </w:rPr>
        <w:t xml:space="preserve">2. Организация антимонопольного </w:t>
      </w:r>
      <w:proofErr w:type="spellStart"/>
      <w:r w:rsidRPr="007D252A">
        <w:rPr>
          <w:rFonts w:ascii="Times New Roman" w:hAnsi="Times New Roman"/>
          <w:b/>
          <w:bCs/>
          <w:sz w:val="26"/>
          <w:szCs w:val="26"/>
        </w:rPr>
        <w:t>комплаенса</w:t>
      </w:r>
      <w:proofErr w:type="spellEnd"/>
    </w:p>
    <w:p w:rsidR="00127016" w:rsidRPr="007D252A" w:rsidRDefault="00127016" w:rsidP="00127016">
      <w:pPr>
        <w:spacing w:after="0" w:line="240" w:lineRule="auto"/>
        <w:ind w:firstLine="68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27016" w:rsidRPr="00AA332F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  <w:highlight w:val="yellow"/>
        </w:rPr>
      </w:pPr>
      <w:r w:rsidRPr="00AA332F">
        <w:rPr>
          <w:rFonts w:ascii="Times New Roman" w:hAnsi="Times New Roman"/>
          <w:sz w:val="27"/>
          <w:szCs w:val="27"/>
        </w:rPr>
        <w:t xml:space="preserve">2.1. Общий контроль организации антимонопольного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/>
          <w:sz w:val="27"/>
          <w:szCs w:val="27"/>
        </w:rPr>
        <w:t xml:space="preserve"> и обеспечения его функционирования осуществляется </w:t>
      </w:r>
      <w:r>
        <w:rPr>
          <w:rFonts w:ascii="Times New Roman" w:hAnsi="Times New Roman"/>
          <w:sz w:val="27"/>
          <w:szCs w:val="27"/>
        </w:rPr>
        <w:t>председателем</w:t>
      </w:r>
      <w:r w:rsidRPr="00AA332F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комитета строительства Курской области </w:t>
      </w:r>
      <w:r w:rsidRPr="00AA332F">
        <w:rPr>
          <w:rFonts w:ascii="Times New Roman" w:hAnsi="Times New Roman"/>
          <w:sz w:val="27"/>
          <w:szCs w:val="27"/>
        </w:rPr>
        <w:t>(далее</w:t>
      </w:r>
      <w:r>
        <w:rPr>
          <w:rFonts w:ascii="Times New Roman" w:hAnsi="Times New Roman"/>
          <w:sz w:val="27"/>
          <w:szCs w:val="27"/>
        </w:rPr>
        <w:t xml:space="preserve"> – </w:t>
      </w:r>
      <w:r w:rsidRPr="00AA332F">
        <w:rPr>
          <w:rFonts w:ascii="Times New Roman" w:hAnsi="Times New Roman"/>
          <w:sz w:val="27"/>
          <w:szCs w:val="27"/>
        </w:rPr>
        <w:t>руководитель), который:</w:t>
      </w:r>
    </w:p>
    <w:p w:rsidR="00127016" w:rsidRPr="00AA332F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32F">
        <w:rPr>
          <w:rFonts w:ascii="Times New Roman" w:hAnsi="Times New Roman"/>
          <w:sz w:val="27"/>
          <w:szCs w:val="27"/>
        </w:rPr>
        <w:t>а</w:t>
      </w:r>
      <w:proofErr w:type="gramEnd"/>
      <w:r w:rsidRPr="00AA332F">
        <w:rPr>
          <w:rFonts w:ascii="Times New Roman" w:hAnsi="Times New Roman"/>
          <w:sz w:val="27"/>
          <w:szCs w:val="27"/>
        </w:rPr>
        <w:t xml:space="preserve">) вводит в действие акт об антимонопольном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комплаенсе</w:t>
      </w:r>
      <w:proofErr w:type="spellEnd"/>
      <w:r w:rsidRPr="00AA332F">
        <w:rPr>
          <w:rFonts w:ascii="Times New Roman" w:hAnsi="Times New Roman"/>
          <w:sz w:val="27"/>
          <w:szCs w:val="27"/>
        </w:rPr>
        <w:t xml:space="preserve">, вносит в него изменения, а также принимает внутренние документы, регламентирующие реализацию антимонопольного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/>
          <w:sz w:val="27"/>
          <w:szCs w:val="27"/>
        </w:rPr>
        <w:t>;</w:t>
      </w:r>
    </w:p>
    <w:p w:rsidR="00127016" w:rsidRPr="00AA332F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32F">
        <w:rPr>
          <w:rFonts w:ascii="Times New Roman" w:hAnsi="Times New Roman"/>
          <w:sz w:val="27"/>
          <w:szCs w:val="27"/>
        </w:rPr>
        <w:t>б</w:t>
      </w:r>
      <w:proofErr w:type="gramEnd"/>
      <w:r w:rsidRPr="00AA332F">
        <w:rPr>
          <w:rFonts w:ascii="Times New Roman" w:hAnsi="Times New Roman"/>
          <w:sz w:val="27"/>
          <w:szCs w:val="27"/>
        </w:rPr>
        <w:t>) применяет предусмотренные законодательством Российской Федерации меры ответственности, за нарушение государственными гражданскими служащими (работниками)</w:t>
      </w:r>
      <w:r w:rsidRPr="00AA332F"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/>
          <w:sz w:val="27"/>
          <w:szCs w:val="27"/>
        </w:rPr>
        <w:t xml:space="preserve">правил антимонопольного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/>
          <w:sz w:val="27"/>
          <w:szCs w:val="27"/>
        </w:rPr>
        <w:t>;</w:t>
      </w:r>
    </w:p>
    <w:p w:rsidR="00127016" w:rsidRPr="00AA332F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32F">
        <w:rPr>
          <w:rFonts w:ascii="Times New Roman" w:hAnsi="Times New Roman"/>
          <w:sz w:val="27"/>
          <w:szCs w:val="27"/>
        </w:rPr>
        <w:t>в</w:t>
      </w:r>
      <w:proofErr w:type="gramEnd"/>
      <w:r w:rsidRPr="00AA332F">
        <w:rPr>
          <w:rFonts w:ascii="Times New Roman" w:hAnsi="Times New Roman"/>
          <w:sz w:val="27"/>
          <w:szCs w:val="27"/>
        </w:rPr>
        <w:t xml:space="preserve">) рассматривает материалы, отчеты и результаты периодических оценок эффективности функционирования антимонопольного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/>
          <w:sz w:val="27"/>
          <w:szCs w:val="27"/>
        </w:rPr>
        <w:t xml:space="preserve"> и принимает меры, направленные на устранение выявленных недостатков;</w:t>
      </w:r>
    </w:p>
    <w:p w:rsidR="00127016" w:rsidRPr="00AA332F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32F">
        <w:rPr>
          <w:rFonts w:ascii="Times New Roman" w:hAnsi="Times New Roman"/>
          <w:sz w:val="27"/>
          <w:szCs w:val="27"/>
        </w:rPr>
        <w:t>г</w:t>
      </w:r>
      <w:proofErr w:type="gramEnd"/>
      <w:r w:rsidRPr="00AA332F">
        <w:rPr>
          <w:rFonts w:ascii="Times New Roman" w:hAnsi="Times New Roman"/>
          <w:sz w:val="27"/>
          <w:szCs w:val="27"/>
        </w:rPr>
        <w:t xml:space="preserve">) осуществляет контроль за устранением выявленных недостатков антимонопольного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/>
          <w:sz w:val="27"/>
          <w:szCs w:val="27"/>
        </w:rPr>
        <w:t>;</w:t>
      </w:r>
    </w:p>
    <w:p w:rsidR="00127016" w:rsidRPr="00AA332F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  <w:highlight w:val="yellow"/>
        </w:rPr>
      </w:pPr>
      <w:proofErr w:type="gramStart"/>
      <w:r w:rsidRPr="00AA332F">
        <w:rPr>
          <w:rFonts w:ascii="Times New Roman" w:hAnsi="Times New Roman"/>
          <w:sz w:val="27"/>
          <w:szCs w:val="27"/>
        </w:rPr>
        <w:t>д</w:t>
      </w:r>
      <w:proofErr w:type="gramEnd"/>
      <w:r w:rsidRPr="00AA332F">
        <w:rPr>
          <w:rFonts w:ascii="Times New Roman" w:hAnsi="Times New Roman"/>
          <w:sz w:val="27"/>
          <w:szCs w:val="27"/>
        </w:rPr>
        <w:t xml:space="preserve">) утверждает карту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</w:t>
      </w:r>
      <w:proofErr w:type="spellEnd"/>
      <w:r w:rsidRPr="00AA332F">
        <w:rPr>
          <w:rFonts w:ascii="Times New Roman" w:hAnsi="Times New Roman"/>
          <w:sz w:val="27"/>
          <w:szCs w:val="27"/>
        </w:rPr>
        <w:t xml:space="preserve">-рисков </w:t>
      </w:r>
      <w:r>
        <w:rPr>
          <w:rFonts w:ascii="Times New Roman" w:hAnsi="Times New Roman"/>
          <w:sz w:val="27"/>
          <w:szCs w:val="27"/>
        </w:rPr>
        <w:t>комитета</w:t>
      </w:r>
      <w:r w:rsidRPr="00AA332F">
        <w:rPr>
          <w:rFonts w:ascii="Times New Roman" w:hAnsi="Times New Roman"/>
          <w:sz w:val="27"/>
          <w:szCs w:val="27"/>
        </w:rPr>
        <w:t>;</w:t>
      </w:r>
    </w:p>
    <w:p w:rsidR="00127016" w:rsidRPr="00AA332F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32F">
        <w:rPr>
          <w:rFonts w:ascii="Times New Roman" w:hAnsi="Times New Roman"/>
          <w:sz w:val="27"/>
          <w:szCs w:val="27"/>
        </w:rPr>
        <w:t>е</w:t>
      </w:r>
      <w:proofErr w:type="gramEnd"/>
      <w:r w:rsidRPr="00AA332F">
        <w:rPr>
          <w:rFonts w:ascii="Times New Roman" w:hAnsi="Times New Roman"/>
          <w:sz w:val="27"/>
          <w:szCs w:val="27"/>
        </w:rPr>
        <w:t xml:space="preserve">) утверждает ключевые показатели эффективности антимонопольного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/>
          <w:sz w:val="27"/>
          <w:szCs w:val="27"/>
        </w:rPr>
        <w:t>;</w:t>
      </w:r>
    </w:p>
    <w:p w:rsidR="00127016" w:rsidRPr="00AA332F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32F">
        <w:rPr>
          <w:rFonts w:ascii="Times New Roman" w:hAnsi="Times New Roman"/>
          <w:sz w:val="27"/>
          <w:szCs w:val="27"/>
        </w:rPr>
        <w:t>ж</w:t>
      </w:r>
      <w:proofErr w:type="gramEnd"/>
      <w:r w:rsidRPr="00AA332F">
        <w:rPr>
          <w:rFonts w:ascii="Times New Roman" w:hAnsi="Times New Roman"/>
          <w:sz w:val="27"/>
          <w:szCs w:val="27"/>
        </w:rPr>
        <w:t xml:space="preserve">) утверждает план мероприятий («дорожную карту») по снижению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</w:t>
      </w:r>
      <w:proofErr w:type="spellEnd"/>
      <w:r w:rsidRPr="00AA332F">
        <w:rPr>
          <w:rFonts w:ascii="Times New Roman" w:hAnsi="Times New Roman"/>
          <w:sz w:val="27"/>
          <w:szCs w:val="27"/>
        </w:rPr>
        <w:t xml:space="preserve">-рисков </w:t>
      </w:r>
      <w:r>
        <w:rPr>
          <w:rFonts w:ascii="Times New Roman" w:hAnsi="Times New Roman"/>
          <w:sz w:val="27"/>
          <w:szCs w:val="27"/>
        </w:rPr>
        <w:t>комитета</w:t>
      </w:r>
      <w:r w:rsidRPr="00AA332F">
        <w:rPr>
          <w:rFonts w:ascii="Times New Roman" w:hAnsi="Times New Roman"/>
          <w:sz w:val="27"/>
          <w:szCs w:val="27"/>
        </w:rPr>
        <w:t>;</w:t>
      </w:r>
    </w:p>
    <w:p w:rsidR="00127016" w:rsidRPr="00AA332F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32F">
        <w:rPr>
          <w:rFonts w:ascii="Times New Roman" w:hAnsi="Times New Roman"/>
          <w:sz w:val="27"/>
          <w:szCs w:val="27"/>
        </w:rPr>
        <w:t>з</w:t>
      </w:r>
      <w:proofErr w:type="gramEnd"/>
      <w:r w:rsidRPr="00AA332F">
        <w:rPr>
          <w:rFonts w:ascii="Times New Roman" w:hAnsi="Times New Roman"/>
          <w:sz w:val="27"/>
          <w:szCs w:val="27"/>
        </w:rPr>
        <w:t xml:space="preserve">) подписывает доклад </w:t>
      </w:r>
      <w:r>
        <w:rPr>
          <w:rFonts w:ascii="Times New Roman" w:hAnsi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/>
          <w:sz w:val="27"/>
          <w:szCs w:val="27"/>
        </w:rPr>
        <w:t xml:space="preserve">об антимонопольном </w:t>
      </w:r>
      <w:proofErr w:type="spellStart"/>
      <w:r w:rsidRPr="00AA332F">
        <w:rPr>
          <w:rFonts w:ascii="Times New Roman" w:hAnsi="Times New Roman"/>
          <w:sz w:val="27"/>
          <w:szCs w:val="27"/>
        </w:rPr>
        <w:t>комплаенсе</w:t>
      </w:r>
      <w:proofErr w:type="spellEnd"/>
      <w:r w:rsidRPr="00AA332F">
        <w:rPr>
          <w:rFonts w:ascii="Times New Roman" w:hAnsi="Times New Roman"/>
          <w:sz w:val="27"/>
          <w:szCs w:val="27"/>
        </w:rPr>
        <w:t>.</w:t>
      </w:r>
    </w:p>
    <w:p w:rsidR="00127016" w:rsidRPr="007D252A" w:rsidRDefault="00127016" w:rsidP="00127016">
      <w:pPr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  <w:highlight w:val="yellow"/>
        </w:rPr>
      </w:pPr>
    </w:p>
    <w:p w:rsidR="00127016" w:rsidRDefault="00127016" w:rsidP="00127016">
      <w:pPr>
        <w:spacing w:after="0" w:line="240" w:lineRule="auto"/>
        <w:ind w:firstLine="680"/>
        <w:jc w:val="center"/>
        <w:rPr>
          <w:rFonts w:ascii="Times New Roman" w:hAnsi="Times New Roman"/>
          <w:b/>
          <w:sz w:val="26"/>
          <w:szCs w:val="26"/>
        </w:rPr>
      </w:pPr>
      <w:r w:rsidRPr="007D252A">
        <w:rPr>
          <w:rFonts w:ascii="Times New Roman" w:hAnsi="Times New Roman"/>
          <w:b/>
          <w:sz w:val="26"/>
          <w:szCs w:val="26"/>
        </w:rPr>
        <w:t xml:space="preserve">3. Уполномоченный </w:t>
      </w:r>
      <w:r>
        <w:rPr>
          <w:rFonts w:ascii="Times New Roman" w:hAnsi="Times New Roman"/>
          <w:b/>
          <w:sz w:val="26"/>
          <w:szCs w:val="26"/>
        </w:rPr>
        <w:t xml:space="preserve">сотрудник </w:t>
      </w:r>
      <w:r w:rsidRPr="007D252A">
        <w:rPr>
          <w:rFonts w:ascii="Times New Roman" w:hAnsi="Times New Roman"/>
          <w:b/>
          <w:sz w:val="26"/>
          <w:szCs w:val="26"/>
        </w:rPr>
        <w:t xml:space="preserve">в </w:t>
      </w:r>
      <w:r>
        <w:rPr>
          <w:rFonts w:ascii="Times New Roman" w:hAnsi="Times New Roman"/>
          <w:b/>
          <w:sz w:val="26"/>
          <w:szCs w:val="26"/>
        </w:rPr>
        <w:t>комитете строительства</w:t>
      </w:r>
      <w:r w:rsidRPr="007D252A">
        <w:rPr>
          <w:rFonts w:ascii="Times New Roman" w:hAnsi="Times New Roman"/>
        </w:rPr>
        <w:t xml:space="preserve"> </w:t>
      </w:r>
      <w:r w:rsidRPr="007D252A">
        <w:rPr>
          <w:rFonts w:ascii="Times New Roman" w:hAnsi="Times New Roman"/>
          <w:b/>
          <w:sz w:val="26"/>
          <w:szCs w:val="26"/>
        </w:rPr>
        <w:t>Курской области</w:t>
      </w:r>
    </w:p>
    <w:p w:rsidR="00127016" w:rsidRPr="007D252A" w:rsidRDefault="00127016" w:rsidP="00127016">
      <w:pPr>
        <w:spacing w:after="0" w:line="240" w:lineRule="auto"/>
        <w:ind w:firstLine="680"/>
        <w:jc w:val="center"/>
        <w:rPr>
          <w:rFonts w:ascii="Times New Roman" w:hAnsi="Times New Roman"/>
          <w:b/>
          <w:sz w:val="26"/>
          <w:szCs w:val="26"/>
        </w:rPr>
      </w:pPr>
    </w:p>
    <w:p w:rsidR="00127016" w:rsidRPr="00AA332F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3.1. Основными функциональными обязанностями уполномоченного </w:t>
      </w:r>
      <w:r>
        <w:rPr>
          <w:rFonts w:ascii="Times New Roman" w:hAnsi="Times New Roman" w:cs="Times New Roman"/>
          <w:sz w:val="27"/>
          <w:szCs w:val="27"/>
        </w:rPr>
        <w:t xml:space="preserve">сотрудника </w:t>
      </w:r>
      <w:r w:rsidRPr="00AA332F">
        <w:rPr>
          <w:rFonts w:ascii="Times New Roman" w:hAnsi="Times New Roman" w:cs="Times New Roman"/>
          <w:sz w:val="27"/>
          <w:szCs w:val="27"/>
        </w:rPr>
        <w:t xml:space="preserve">являются: 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разработка, согласование и внедрение правовых актов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 xml:space="preserve">, обеспечивающих развитие и функционирование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>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координация и методологическое обеспечение мероприятий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>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контроль за функционированием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>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выявление рисков нарушения антимонопольного законодательства в деятельности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>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инициирование мероприятий по минимизации рисков нарушения антимонопольного законодательства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>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информирование должностных лиц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 xml:space="preserve">, в зоне ответственности </w:t>
      </w:r>
      <w:r w:rsidRPr="00AA332F">
        <w:rPr>
          <w:rFonts w:ascii="Times New Roman" w:hAnsi="Times New Roman" w:cs="Times New Roman"/>
          <w:sz w:val="27"/>
          <w:szCs w:val="27"/>
        </w:rPr>
        <w:lastRenderedPageBreak/>
        <w:t xml:space="preserve">которых имеются соответствующие антимонопольные риски, и руководителя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>о выявленных рисках;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организация взаимодействия между подразделениями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 xml:space="preserve">по вопросам реализации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;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– взаимодействие с территориальным антимонопольным органом по вопросам организации и функционировании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 xml:space="preserve">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27016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D252A">
        <w:rPr>
          <w:rFonts w:ascii="Times New Roman" w:hAnsi="Times New Roman" w:cs="Times New Roman"/>
          <w:b/>
          <w:sz w:val="26"/>
          <w:szCs w:val="26"/>
        </w:rPr>
        <w:t>4. Выявление и оценка рисков</w:t>
      </w:r>
    </w:p>
    <w:p w:rsidR="00127016" w:rsidRPr="007D252A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4.1. В целях обеспечения соответствия деятельности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 xml:space="preserve">требованиям антимонопольного законодательства осуществляется выявление и оценка рисков нарушения антимонопольного законодательства. 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4.2. В целях выявления рисков нарушения антимонопольного законодательства уполномоченным </w:t>
      </w:r>
      <w:r>
        <w:rPr>
          <w:rFonts w:ascii="Times New Roman" w:hAnsi="Times New Roman" w:cs="Times New Roman"/>
          <w:sz w:val="27"/>
          <w:szCs w:val="27"/>
        </w:rPr>
        <w:t xml:space="preserve">сотрудником </w:t>
      </w:r>
      <w:r w:rsidRPr="00AA332F">
        <w:rPr>
          <w:rFonts w:ascii="Times New Roman" w:hAnsi="Times New Roman" w:cs="Times New Roman"/>
          <w:sz w:val="27"/>
          <w:szCs w:val="27"/>
        </w:rPr>
        <w:t>совместно с подразделениями</w:t>
      </w:r>
      <w:r w:rsidRPr="00AA332F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>на регулярной основе проводятся следующие мероприятия:</w:t>
      </w:r>
    </w:p>
    <w:p w:rsidR="00127016" w:rsidRPr="00AA332F" w:rsidRDefault="00127016" w:rsidP="00127016">
      <w:pPr>
        <w:pStyle w:val="ConsPlusNormal"/>
        <w:tabs>
          <w:tab w:val="left" w:pos="709"/>
          <w:tab w:val="left" w:pos="1134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4.2.1. 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4.2.2. Анализ проектов и действующих нормативных правовых актов Курской области, разработанных </w:t>
      </w:r>
      <w:r>
        <w:rPr>
          <w:rFonts w:ascii="Times New Roman" w:hAnsi="Times New Roman" w:cs="Times New Roman"/>
          <w:sz w:val="27"/>
          <w:szCs w:val="27"/>
        </w:rPr>
        <w:t>комитетом</w:t>
      </w:r>
      <w:r w:rsidRPr="00AA332F">
        <w:rPr>
          <w:rFonts w:ascii="Times New Roman" w:hAnsi="Times New Roman" w:cs="Times New Roman"/>
          <w:sz w:val="27"/>
          <w:szCs w:val="27"/>
        </w:rPr>
        <w:t xml:space="preserve">, реализация которых связана с соблюдением требований антимонопольного законодательства (далее соответственно – проекты актов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 xml:space="preserve">, действующие акты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>), на предмет соответствия их антимонопольному законодательству.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4.2.3. Мониторинг и анализ практики применения антимонопольного законодательства.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4.2.4. 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 xml:space="preserve"> антимонопольного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комплаенса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4.2.5. Проведение систематической оценки эффективности разработанных и реализуемых мер контроля.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4.2.6. Проведение постоянного мониторинга для выявления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 xml:space="preserve"> остаточных рисков нарушения антимонопольного законодательства.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4.3. Анализ выявленных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 xml:space="preserve"> 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</w:t>
      </w:r>
      <w:r>
        <w:rPr>
          <w:rFonts w:ascii="Times New Roman" w:hAnsi="Times New Roman" w:cs="Times New Roman"/>
          <w:sz w:val="27"/>
          <w:szCs w:val="27"/>
        </w:rPr>
        <w:t>комитетом</w:t>
      </w:r>
      <w:r w:rsidRPr="00AA332F">
        <w:rPr>
          <w:rFonts w:ascii="Times New Roman" w:hAnsi="Times New Roman" w:cs="Times New Roman"/>
          <w:sz w:val="27"/>
          <w:szCs w:val="27"/>
        </w:rPr>
        <w:t xml:space="preserve"> реализуются следующие мероприятия: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4.3.1. Осуществляется сбор сведений, в том числе в подразделениях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>, о наличии выявленных контрольными органами нарушений антимонопольного законодательства.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4.3.2. Составляется перечень выявленных нарушений антимонопольного законодательства.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Перечень нарушений антимонопольного законодательства должен </w:t>
      </w:r>
      <w:r w:rsidRPr="00AA332F">
        <w:rPr>
          <w:rFonts w:ascii="Times New Roman" w:hAnsi="Times New Roman" w:cs="Times New Roman"/>
          <w:sz w:val="27"/>
          <w:szCs w:val="27"/>
        </w:rPr>
        <w:lastRenderedPageBreak/>
        <w:t xml:space="preserve">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</w:t>
      </w:r>
      <w:r>
        <w:rPr>
          <w:rFonts w:ascii="Times New Roman" w:hAnsi="Times New Roman" w:cs="Times New Roman"/>
          <w:sz w:val="27"/>
          <w:szCs w:val="27"/>
        </w:rPr>
        <w:t>комитетом</w:t>
      </w:r>
      <w:r w:rsidRPr="00AA332F">
        <w:rPr>
          <w:rFonts w:ascii="Times New Roman" w:hAnsi="Times New Roman" w:cs="Times New Roman"/>
          <w:sz w:val="27"/>
          <w:szCs w:val="27"/>
        </w:rPr>
        <w:t xml:space="preserve"> на недопущение повторения нарушения. Перечень нарушений антимонопольного законодательства должен содержать классификацию по сферам деятельности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4.4. Анализ действующих актов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 xml:space="preserve"> на предмет соответствия их антимонопольному законодательству проводится не реже одного раза в год.  При проведении данного анализа реализуются следующие мероприятия: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993"/>
          <w:tab w:val="left" w:pos="1276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4.4.1. Разрабатывается исчерпывающий перечень действующих актов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 xml:space="preserve">(далее </w:t>
      </w:r>
      <w:r>
        <w:rPr>
          <w:rFonts w:ascii="Times New Roman" w:hAnsi="Times New Roman" w:cs="Times New Roman"/>
          <w:sz w:val="27"/>
          <w:szCs w:val="27"/>
        </w:rPr>
        <w:t>– п</w:t>
      </w:r>
      <w:r w:rsidRPr="00AA332F">
        <w:rPr>
          <w:rFonts w:ascii="Times New Roman" w:hAnsi="Times New Roman" w:cs="Times New Roman"/>
          <w:sz w:val="27"/>
          <w:szCs w:val="27"/>
        </w:rPr>
        <w:t>еречень действующих актов) с указанием источника их публикации.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276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4.4.2. Перечень действующих актов размещается на официальном сайте </w:t>
      </w:r>
      <w:r>
        <w:rPr>
          <w:rFonts w:ascii="Times New Roman" w:hAnsi="Times New Roman" w:cs="Times New Roman"/>
          <w:sz w:val="27"/>
          <w:szCs w:val="27"/>
        </w:rPr>
        <w:t>комитета в</w:t>
      </w:r>
      <w:r w:rsidRPr="00AA332F">
        <w:rPr>
          <w:rFonts w:ascii="Times New Roman" w:hAnsi="Times New Roman" w:cs="Times New Roman"/>
          <w:sz w:val="27"/>
          <w:szCs w:val="27"/>
        </w:rPr>
        <w:t xml:space="preserve"> сети Интернет в свободном доступе.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276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На официальном сайте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 xml:space="preserve">размещается уведомление о начале сбора замечаний и предложений граждан и организаций по вопросу соответствия антимонопольному законодательству действующих актов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276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4.4.3. Перечень действующих актов направляется на рассмотрение представителям бизнес-объединений и (или) иным общественным организациям (объединениям)</w:t>
      </w:r>
      <w:r>
        <w:rPr>
          <w:rFonts w:ascii="Times New Roman" w:hAnsi="Times New Roman" w:cs="Times New Roman"/>
          <w:sz w:val="27"/>
          <w:szCs w:val="27"/>
        </w:rPr>
        <w:t>, общественному совету при комитете</w:t>
      </w:r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4.4.5. Осуществляется сбор и анализ представленных замечаний и предложений.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4.4.6. Проводится совещание с представителями </w:t>
      </w:r>
      <w:r>
        <w:rPr>
          <w:rFonts w:ascii="Times New Roman" w:hAnsi="Times New Roman" w:cs="Times New Roman"/>
          <w:sz w:val="27"/>
          <w:szCs w:val="27"/>
        </w:rPr>
        <w:t>комитета,</w:t>
      </w:r>
      <w:r w:rsidRPr="00AA332F">
        <w:rPr>
          <w:rFonts w:ascii="Times New Roman" w:hAnsi="Times New Roman" w:cs="Times New Roman"/>
          <w:sz w:val="27"/>
          <w:szCs w:val="27"/>
        </w:rPr>
        <w:t xml:space="preserve"> бизнес</w:t>
      </w:r>
      <w:r>
        <w:rPr>
          <w:rFonts w:ascii="Times New Roman" w:hAnsi="Times New Roman" w:cs="Times New Roman"/>
          <w:sz w:val="27"/>
          <w:szCs w:val="27"/>
        </w:rPr>
        <w:t>-</w:t>
      </w:r>
      <w:r w:rsidRPr="00AA332F">
        <w:rPr>
          <w:rFonts w:ascii="Times New Roman" w:hAnsi="Times New Roman" w:cs="Times New Roman"/>
          <w:sz w:val="27"/>
          <w:szCs w:val="27"/>
        </w:rPr>
        <w:t>объединений (иных общественных организаций (объединений))</w:t>
      </w:r>
      <w:r>
        <w:rPr>
          <w:rFonts w:ascii="Times New Roman" w:hAnsi="Times New Roman" w:cs="Times New Roman"/>
          <w:sz w:val="27"/>
          <w:szCs w:val="27"/>
        </w:rPr>
        <w:t>, общественного совета при комитете</w:t>
      </w:r>
      <w:r w:rsidRPr="00AA332F">
        <w:rPr>
          <w:rFonts w:ascii="Times New Roman" w:hAnsi="Times New Roman" w:cs="Times New Roman"/>
          <w:sz w:val="27"/>
          <w:szCs w:val="27"/>
        </w:rPr>
        <w:t xml:space="preserve"> по обсуждению представленных предложений и замечаний к Перечню действующих актов.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4.4.7. 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акты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>с обоснованием целесообразности (нецелесообразности) внесения изменений (признания утратившими силу).</w:t>
      </w:r>
    </w:p>
    <w:p w:rsidR="00127016" w:rsidRPr="00AA332F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4.5. При проведении анализа проектов актов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 xml:space="preserve">на предмет соответствия их антимонопольному законодательству, </w:t>
      </w:r>
      <w:r>
        <w:rPr>
          <w:rFonts w:ascii="Times New Roman" w:hAnsi="Times New Roman" w:cs="Times New Roman"/>
          <w:sz w:val="27"/>
          <w:szCs w:val="27"/>
        </w:rPr>
        <w:t>комитетом</w:t>
      </w:r>
      <w:r w:rsidRPr="00AA332F">
        <w:rPr>
          <w:rFonts w:ascii="Times New Roman" w:hAnsi="Times New Roman" w:cs="Times New Roman"/>
          <w:sz w:val="27"/>
          <w:szCs w:val="27"/>
        </w:rPr>
        <w:t xml:space="preserve"> реализуются следующие мероприятия: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>4.5.1. Осуществляется сбор и анализ поступивших предложений и замечаний.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4.5.2. По итогам рассмотрения полученных предложений и замечаний по проекту акта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>подготавливается справка о выявлении (отсутствии) в проекте акта положений, противоречащих антимонопольному законодательству.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4.6. При проведении мониторинга и анализа практики применения </w:t>
      </w:r>
      <w:r w:rsidRPr="00AA332F">
        <w:rPr>
          <w:rFonts w:ascii="Times New Roman" w:hAnsi="Times New Roman" w:cs="Times New Roman"/>
          <w:sz w:val="27"/>
          <w:szCs w:val="27"/>
        </w:rPr>
        <w:lastRenderedPageBreak/>
        <w:t>антимонопольного законодательства уполномоченным реализуются следующие мероприятия: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4.6.1. На постоянной основе осуществляется сбор сведений, в том числе в подразделениях </w:t>
      </w:r>
      <w:r>
        <w:rPr>
          <w:rFonts w:ascii="Times New Roman" w:hAnsi="Times New Roman" w:cs="Times New Roman"/>
          <w:sz w:val="27"/>
          <w:szCs w:val="27"/>
        </w:rPr>
        <w:t>комитета</w:t>
      </w:r>
      <w:r w:rsidRPr="00AA332F">
        <w:rPr>
          <w:rFonts w:ascii="Times New Roman" w:hAnsi="Times New Roman" w:cs="Times New Roman"/>
          <w:sz w:val="27"/>
          <w:szCs w:val="27"/>
        </w:rPr>
        <w:t xml:space="preserve">, о правоприменительной практике в </w:t>
      </w:r>
      <w:r>
        <w:rPr>
          <w:rFonts w:ascii="Times New Roman" w:hAnsi="Times New Roman" w:cs="Times New Roman"/>
          <w:sz w:val="27"/>
          <w:szCs w:val="27"/>
        </w:rPr>
        <w:t>комитете</w:t>
      </w:r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4.6.2. По итогам сбора указанной информации подготавливается аналитическая справка об изменениях и основных аспектах правоприменительной практики, а также о проблемах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правоприменения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4.6.3. Один раз в полугодие проводятся рабочие совещания с представителями </w:t>
      </w:r>
      <w:r>
        <w:rPr>
          <w:rFonts w:ascii="Times New Roman" w:hAnsi="Times New Roman" w:cs="Times New Roman"/>
          <w:sz w:val="27"/>
          <w:szCs w:val="27"/>
        </w:rPr>
        <w:t>комитета с</w:t>
      </w:r>
      <w:r w:rsidRPr="00AA332F">
        <w:rPr>
          <w:rFonts w:ascii="Times New Roman" w:hAnsi="Times New Roman" w:cs="Times New Roman"/>
          <w:sz w:val="27"/>
          <w:szCs w:val="27"/>
        </w:rPr>
        <w:t xml:space="preserve"> приглашением представителей антимонопольного органа по обсуждению результатов правоприменительной практики и по вопросам проблем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правоприменения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r w:rsidRPr="00AA332F">
        <w:rPr>
          <w:rFonts w:ascii="Times New Roman" w:hAnsi="Times New Roman" w:cs="Times New Roman"/>
          <w:sz w:val="27"/>
          <w:szCs w:val="27"/>
        </w:rPr>
        <w:t xml:space="preserve">4.6.4. По итогам проведения указанного совещания составляется протокол, а также подготавливаются предложения по решению проблем </w:t>
      </w:r>
      <w:proofErr w:type="spellStart"/>
      <w:r w:rsidRPr="00AA332F">
        <w:rPr>
          <w:rFonts w:ascii="Times New Roman" w:hAnsi="Times New Roman" w:cs="Times New Roman"/>
          <w:sz w:val="27"/>
          <w:szCs w:val="27"/>
        </w:rPr>
        <w:t>правоприменения</w:t>
      </w:r>
      <w:proofErr w:type="spellEnd"/>
      <w:r w:rsidRPr="00AA332F">
        <w:rPr>
          <w:rFonts w:ascii="Times New Roman" w:hAnsi="Times New Roman" w:cs="Times New Roman"/>
          <w:sz w:val="27"/>
          <w:szCs w:val="27"/>
        </w:rPr>
        <w:t>.</w:t>
      </w:r>
    </w:p>
    <w:p w:rsidR="00127016" w:rsidRPr="00AA332F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7"/>
          <w:szCs w:val="27"/>
        </w:rPr>
      </w:pPr>
      <w:bookmarkStart w:id="1" w:name="bookmark5"/>
      <w:r w:rsidRPr="00AA332F">
        <w:rPr>
          <w:rFonts w:ascii="Times New Roman" w:hAnsi="Times New Roman" w:cs="Times New Roman"/>
          <w:sz w:val="27"/>
          <w:szCs w:val="27"/>
        </w:rPr>
        <w:t xml:space="preserve">4.7. При выявлении отдельных рисков </w:t>
      </w:r>
      <w:r>
        <w:rPr>
          <w:rFonts w:ascii="Times New Roman" w:hAnsi="Times New Roman" w:cs="Times New Roman"/>
          <w:sz w:val="27"/>
          <w:szCs w:val="27"/>
        </w:rPr>
        <w:t xml:space="preserve">комитета </w:t>
      </w:r>
      <w:r w:rsidRPr="00AA332F">
        <w:rPr>
          <w:rFonts w:ascii="Times New Roman" w:hAnsi="Times New Roman" w:cs="Times New Roman"/>
          <w:sz w:val="27"/>
          <w:szCs w:val="27"/>
        </w:rPr>
        <w:t xml:space="preserve">проводится их оценка в соответствии с таблицей 1: </w:t>
      </w:r>
    </w:p>
    <w:p w:rsidR="00127016" w:rsidRPr="007D252A" w:rsidRDefault="00127016" w:rsidP="00127016">
      <w:pPr>
        <w:pStyle w:val="ConsPlusNormal"/>
        <w:tabs>
          <w:tab w:val="left" w:pos="851"/>
        </w:tabs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>Таблица 1</w:t>
      </w:r>
    </w:p>
    <w:p w:rsidR="00127016" w:rsidRPr="007D252A" w:rsidRDefault="00127016" w:rsidP="00127016">
      <w:pPr>
        <w:pStyle w:val="ConsPlusNormal"/>
        <w:tabs>
          <w:tab w:val="left" w:pos="851"/>
        </w:tabs>
        <w:ind w:left="284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2"/>
        <w:gridCol w:w="7087"/>
      </w:tblGrid>
      <w:tr w:rsidR="00127016" w:rsidRPr="00AA332F" w:rsidTr="00151F43">
        <w:trPr>
          <w:trHeight w:hRule="exact" w:val="398"/>
        </w:trPr>
        <w:tc>
          <w:tcPr>
            <w:tcW w:w="2112" w:type="dxa"/>
            <w:tcBorders>
              <w:bottom w:val="nil"/>
            </w:tcBorders>
            <w:shd w:val="clear" w:color="auto" w:fill="FFFFFF"/>
            <w:vAlign w:val="bottom"/>
          </w:tcPr>
          <w:p w:rsidR="00127016" w:rsidRPr="00AA332F" w:rsidRDefault="00127016" w:rsidP="00151F43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2F">
              <w:rPr>
                <w:rStyle w:val="2"/>
                <w:sz w:val="24"/>
                <w:szCs w:val="24"/>
              </w:rPr>
              <w:t>Уровень риска</w:t>
            </w:r>
          </w:p>
        </w:tc>
        <w:tc>
          <w:tcPr>
            <w:tcW w:w="7087" w:type="dxa"/>
            <w:tcBorders>
              <w:bottom w:val="nil"/>
            </w:tcBorders>
            <w:shd w:val="clear" w:color="auto" w:fill="FFFFFF"/>
            <w:vAlign w:val="bottom"/>
          </w:tcPr>
          <w:p w:rsidR="00127016" w:rsidRPr="00AA332F" w:rsidRDefault="00127016" w:rsidP="00151F43">
            <w:pPr>
              <w:spacing w:line="28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332F">
              <w:rPr>
                <w:rStyle w:val="2"/>
                <w:sz w:val="24"/>
                <w:szCs w:val="24"/>
              </w:rPr>
              <w:t>Описание риска</w:t>
            </w:r>
          </w:p>
        </w:tc>
      </w:tr>
      <w:tr w:rsidR="00127016" w:rsidRPr="007D252A" w:rsidTr="00151F43">
        <w:trPr>
          <w:trHeight w:hRule="exact" w:val="81"/>
        </w:trPr>
        <w:tc>
          <w:tcPr>
            <w:tcW w:w="2112" w:type="dxa"/>
            <w:tcBorders>
              <w:top w:val="nil"/>
            </w:tcBorders>
            <w:shd w:val="clear" w:color="auto" w:fill="FFFFFF"/>
          </w:tcPr>
          <w:p w:rsidR="00127016" w:rsidRPr="007D252A" w:rsidRDefault="00127016" w:rsidP="00151F43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7" w:type="dxa"/>
            <w:tcBorders>
              <w:top w:val="nil"/>
            </w:tcBorders>
            <w:shd w:val="clear" w:color="auto" w:fill="FFFFFF"/>
          </w:tcPr>
          <w:p w:rsidR="00127016" w:rsidRPr="007D252A" w:rsidRDefault="00127016" w:rsidP="00151F4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27016" w:rsidRPr="00AA332F" w:rsidTr="00151F43">
        <w:trPr>
          <w:trHeight w:hRule="exact" w:val="1510"/>
        </w:trPr>
        <w:tc>
          <w:tcPr>
            <w:tcW w:w="2112" w:type="dxa"/>
            <w:shd w:val="clear" w:color="auto" w:fill="FFFFFF"/>
          </w:tcPr>
          <w:p w:rsidR="00127016" w:rsidRPr="00AA332F" w:rsidRDefault="00127016" w:rsidP="00151F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32F">
              <w:rPr>
                <w:rStyle w:val="2"/>
                <w:sz w:val="24"/>
                <w:szCs w:val="24"/>
              </w:rPr>
              <w:t>Низкий</w:t>
            </w:r>
          </w:p>
        </w:tc>
        <w:tc>
          <w:tcPr>
            <w:tcW w:w="7087" w:type="dxa"/>
            <w:shd w:val="clear" w:color="auto" w:fill="FFFFFF"/>
          </w:tcPr>
          <w:p w:rsidR="00127016" w:rsidRPr="00AA332F" w:rsidRDefault="00127016" w:rsidP="00151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2F">
              <w:rPr>
                <w:rFonts w:ascii="Times New Roman" w:hAnsi="Times New Roman"/>
                <w:sz w:val="24"/>
                <w:szCs w:val="24"/>
              </w:rPr>
              <w:t xml:space="preserve">Отрицательное влияние на отношение институтов гражданского общества к 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комитета строительства Курской области </w:t>
            </w:r>
            <w:r w:rsidRPr="00AA332F">
              <w:rPr>
                <w:rFonts w:ascii="Times New Roman" w:hAnsi="Times New Roman"/>
                <w:sz w:val="24"/>
                <w:szCs w:val="24"/>
              </w:rPr>
              <w:t xml:space="preserve">по развитию конкуренции, вероятность выдачи предупреждений, возбуждения дел о нарушении антимонопольного законодательства, наложения штрафов </w:t>
            </w:r>
            <w:r w:rsidRPr="00AA332F">
              <w:rPr>
                <w:rStyle w:val="2"/>
                <w:sz w:val="24"/>
                <w:szCs w:val="24"/>
              </w:rPr>
              <w:t>отсутствуют</w:t>
            </w:r>
          </w:p>
        </w:tc>
      </w:tr>
      <w:tr w:rsidR="00127016" w:rsidRPr="00AA332F" w:rsidTr="00151F43">
        <w:trPr>
          <w:trHeight w:hRule="exact" w:val="494"/>
        </w:trPr>
        <w:tc>
          <w:tcPr>
            <w:tcW w:w="2112" w:type="dxa"/>
            <w:shd w:val="clear" w:color="auto" w:fill="FFFFFF"/>
          </w:tcPr>
          <w:p w:rsidR="00127016" w:rsidRPr="00AA332F" w:rsidRDefault="00127016" w:rsidP="00151F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32F">
              <w:rPr>
                <w:rStyle w:val="2"/>
                <w:sz w:val="24"/>
                <w:szCs w:val="24"/>
              </w:rPr>
              <w:t>Незначительный</w:t>
            </w:r>
          </w:p>
        </w:tc>
        <w:tc>
          <w:tcPr>
            <w:tcW w:w="7087" w:type="dxa"/>
            <w:shd w:val="clear" w:color="auto" w:fill="FFFFFF"/>
          </w:tcPr>
          <w:p w:rsidR="00127016" w:rsidRPr="00AA332F" w:rsidRDefault="00127016" w:rsidP="00151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2F">
              <w:rPr>
                <w:rFonts w:ascii="Times New Roman" w:hAnsi="Times New Roman"/>
                <w:sz w:val="24"/>
                <w:szCs w:val="24"/>
              </w:rPr>
              <w:t>Возможность выдачи предупреждения</w:t>
            </w:r>
          </w:p>
        </w:tc>
      </w:tr>
      <w:tr w:rsidR="00127016" w:rsidRPr="00AA332F" w:rsidTr="00151F43">
        <w:trPr>
          <w:trHeight w:hRule="exact" w:val="692"/>
        </w:trPr>
        <w:tc>
          <w:tcPr>
            <w:tcW w:w="2112" w:type="dxa"/>
            <w:shd w:val="clear" w:color="auto" w:fill="FFFFFF"/>
          </w:tcPr>
          <w:p w:rsidR="00127016" w:rsidRPr="00AA332F" w:rsidRDefault="00127016" w:rsidP="00151F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32F">
              <w:rPr>
                <w:rStyle w:val="2"/>
                <w:sz w:val="24"/>
                <w:szCs w:val="24"/>
              </w:rPr>
              <w:t>Существенный</w:t>
            </w:r>
          </w:p>
        </w:tc>
        <w:tc>
          <w:tcPr>
            <w:tcW w:w="7087" w:type="dxa"/>
            <w:shd w:val="clear" w:color="auto" w:fill="FFFFFF"/>
          </w:tcPr>
          <w:p w:rsidR="00127016" w:rsidRPr="00AA332F" w:rsidRDefault="00127016" w:rsidP="00151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2F">
              <w:rPr>
                <w:rFonts w:ascii="Times New Roman" w:hAnsi="Times New Roman"/>
                <w:sz w:val="24"/>
                <w:szCs w:val="24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127016" w:rsidRPr="00AA332F" w:rsidTr="00151F43">
        <w:trPr>
          <w:trHeight w:hRule="exact" w:val="1246"/>
        </w:trPr>
        <w:tc>
          <w:tcPr>
            <w:tcW w:w="2112" w:type="dxa"/>
            <w:shd w:val="clear" w:color="auto" w:fill="FFFFFF"/>
          </w:tcPr>
          <w:p w:rsidR="00127016" w:rsidRPr="00AA332F" w:rsidRDefault="00127016" w:rsidP="00151F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32F">
              <w:rPr>
                <w:rStyle w:val="2"/>
                <w:sz w:val="24"/>
                <w:szCs w:val="24"/>
              </w:rPr>
              <w:t>Высокий</w:t>
            </w:r>
          </w:p>
        </w:tc>
        <w:tc>
          <w:tcPr>
            <w:tcW w:w="7087" w:type="dxa"/>
            <w:shd w:val="clear" w:color="auto" w:fill="FFFFFF"/>
          </w:tcPr>
          <w:p w:rsidR="00127016" w:rsidRPr="00AA332F" w:rsidRDefault="00127016" w:rsidP="00151F4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32F">
              <w:rPr>
                <w:rFonts w:ascii="Times New Roman" w:hAnsi="Times New Roman"/>
                <w:sz w:val="24"/>
                <w:szCs w:val="24"/>
              </w:rPr>
              <w:t>Возможность выдачи предупреждения и (или) возбуждения дела о нарушении антимонопольного законодательства и (или) привлечение к административной ответственности (штраф, дисквалификация)</w:t>
            </w:r>
          </w:p>
        </w:tc>
      </w:tr>
    </w:tbl>
    <w:p w:rsidR="00127016" w:rsidRPr="007D252A" w:rsidRDefault="00127016" w:rsidP="00127016">
      <w:pPr>
        <w:pStyle w:val="ConsPlusNormal"/>
        <w:tabs>
          <w:tab w:val="left" w:pos="851"/>
        </w:tabs>
        <w:ind w:left="284"/>
        <w:outlineLvl w:val="1"/>
        <w:rPr>
          <w:rFonts w:ascii="Times New Roman" w:hAnsi="Times New Roman" w:cs="Times New Roman"/>
          <w:sz w:val="26"/>
          <w:szCs w:val="26"/>
        </w:rPr>
      </w:pPr>
    </w:p>
    <w:p w:rsidR="00127016" w:rsidRPr="007D252A" w:rsidRDefault="00127016" w:rsidP="00127016">
      <w:pPr>
        <w:pStyle w:val="ConsPlusNormal"/>
        <w:tabs>
          <w:tab w:val="left" w:pos="851"/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4.8. По результатам проведения оценки рисков, выявленных по результатам проведенных мероприятий антимонопольного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 xml:space="preserve">, уполномоченным </w:t>
      </w:r>
      <w:r>
        <w:rPr>
          <w:rFonts w:ascii="Times New Roman" w:hAnsi="Times New Roman" w:cs="Times New Roman"/>
          <w:sz w:val="26"/>
          <w:szCs w:val="26"/>
        </w:rPr>
        <w:t xml:space="preserve">сотрудником </w:t>
      </w:r>
      <w:r w:rsidRPr="007D252A">
        <w:rPr>
          <w:rFonts w:ascii="Times New Roman" w:hAnsi="Times New Roman" w:cs="Times New Roman"/>
          <w:sz w:val="26"/>
          <w:szCs w:val="26"/>
        </w:rPr>
        <w:t xml:space="preserve">совместно с подразделениями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Pr="007D252A">
        <w:rPr>
          <w:rFonts w:ascii="Times New Roman" w:hAnsi="Times New Roman" w:cs="Times New Roman"/>
          <w:sz w:val="26"/>
          <w:szCs w:val="26"/>
        </w:rPr>
        <w:t>составляются карты рисков по форме согласно приложению 1 к настоящему Положению.</w:t>
      </w:r>
    </w:p>
    <w:p w:rsidR="00127016" w:rsidRPr="007D252A" w:rsidRDefault="00127016" w:rsidP="00127016">
      <w:pPr>
        <w:pStyle w:val="ConsPlusNormal"/>
        <w:tabs>
          <w:tab w:val="left" w:pos="851"/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>4.9. В карты рисков включаются: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выявленные риски (их описание), структурированные по уровню и направлениям деятельности;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описание причин возникновения рисков;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описание условий возникновения рисков;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мероприятия по минимизации и устранению рисков;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наличие (отсутствие) остаточных рисков;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вероятность повторного возникновения рисков.</w:t>
      </w:r>
    </w:p>
    <w:p w:rsidR="00127016" w:rsidRPr="007D252A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4.10. Карты рисков составляются не реже одного раза в год, утверждаются </w:t>
      </w:r>
      <w:r w:rsidRPr="007D252A">
        <w:rPr>
          <w:rFonts w:ascii="Times New Roman" w:hAnsi="Times New Roman" w:cs="Times New Roman"/>
          <w:sz w:val="26"/>
          <w:szCs w:val="26"/>
        </w:rPr>
        <w:lastRenderedPageBreak/>
        <w:t xml:space="preserve">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Pr="007D252A">
        <w:rPr>
          <w:rFonts w:ascii="Times New Roman" w:hAnsi="Times New Roman" w:cs="Times New Roman"/>
          <w:sz w:val="26"/>
          <w:szCs w:val="26"/>
        </w:rPr>
        <w:t xml:space="preserve">или уполномоченным им лицом, и размещаются на официальном сайте </w:t>
      </w:r>
      <w:r>
        <w:rPr>
          <w:rFonts w:ascii="Times New Roman" w:hAnsi="Times New Roman" w:cs="Times New Roman"/>
          <w:sz w:val="26"/>
          <w:szCs w:val="26"/>
        </w:rPr>
        <w:t>комитета в</w:t>
      </w:r>
      <w:r w:rsidRPr="007D252A">
        <w:rPr>
          <w:rFonts w:ascii="Times New Roman" w:hAnsi="Times New Roman" w:cs="Times New Roman"/>
          <w:sz w:val="26"/>
          <w:szCs w:val="26"/>
        </w:rPr>
        <w:t xml:space="preserve"> сети Интернет.</w:t>
      </w:r>
    </w:p>
    <w:p w:rsidR="00127016" w:rsidRPr="007D252A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4.11. Информация о проведённых мероприятиях по выявлению и оценке рисков нарушения антимонопольного законодательства включается в Доклад об антимонопольном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>.</w:t>
      </w:r>
    </w:p>
    <w:p w:rsidR="00127016" w:rsidRDefault="00127016" w:rsidP="00127016">
      <w:pPr>
        <w:pStyle w:val="ConsPlusNormal"/>
        <w:tabs>
          <w:tab w:val="left" w:pos="851"/>
          <w:tab w:val="left" w:pos="1134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27016" w:rsidRPr="007D252A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D252A">
        <w:rPr>
          <w:rFonts w:ascii="Times New Roman" w:hAnsi="Times New Roman" w:cs="Times New Roman"/>
          <w:b/>
          <w:sz w:val="26"/>
          <w:szCs w:val="26"/>
        </w:rPr>
        <w:t xml:space="preserve">5. Проведение мероприятий по снижению рисков нарушения </w:t>
      </w:r>
    </w:p>
    <w:p w:rsidR="00127016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D252A">
        <w:rPr>
          <w:rFonts w:ascii="Times New Roman" w:hAnsi="Times New Roman" w:cs="Times New Roman"/>
          <w:b/>
          <w:sz w:val="26"/>
          <w:szCs w:val="26"/>
        </w:rPr>
        <w:t>антимонопольного</w:t>
      </w:r>
      <w:proofErr w:type="gramEnd"/>
      <w:r w:rsidRPr="007D252A">
        <w:rPr>
          <w:rFonts w:ascii="Times New Roman" w:hAnsi="Times New Roman" w:cs="Times New Roman"/>
          <w:b/>
          <w:sz w:val="26"/>
          <w:szCs w:val="26"/>
        </w:rPr>
        <w:t xml:space="preserve"> законодательства</w:t>
      </w:r>
      <w:bookmarkEnd w:id="1"/>
      <w:r w:rsidRPr="007D252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27016" w:rsidRPr="007D252A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27016" w:rsidRPr="007D252A" w:rsidRDefault="00127016" w:rsidP="00127016">
      <w:pPr>
        <w:pStyle w:val="ConsPlusNormal"/>
        <w:tabs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5.1. В целях снижения рисков нарушения антимонопольного законодательства уполномоченным </w:t>
      </w:r>
      <w:r>
        <w:rPr>
          <w:rFonts w:ascii="Times New Roman" w:hAnsi="Times New Roman" w:cs="Times New Roman"/>
          <w:sz w:val="26"/>
          <w:szCs w:val="26"/>
        </w:rPr>
        <w:t xml:space="preserve">сотрудником </w:t>
      </w:r>
      <w:r w:rsidRPr="007D252A">
        <w:rPr>
          <w:rFonts w:ascii="Times New Roman" w:hAnsi="Times New Roman" w:cs="Times New Roman"/>
          <w:sz w:val="26"/>
          <w:szCs w:val="26"/>
        </w:rPr>
        <w:t>на основе карты рисков нарушения антимонопольного законодательства разрабатывается план мероприятий («дорожная карта») по форме согласно приложению 2 к настоящему Положению.</w:t>
      </w:r>
    </w:p>
    <w:p w:rsidR="00127016" w:rsidRPr="007D252A" w:rsidRDefault="00127016" w:rsidP="00127016">
      <w:pPr>
        <w:pStyle w:val="ConsPlusNormal"/>
        <w:tabs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>5.2. План мероприятий («дорожная карта») по снижению рисков нарушения антимонопольного законодательства разрабатывается ежегодно.</w:t>
      </w:r>
    </w:p>
    <w:p w:rsidR="00127016" w:rsidRPr="007D252A" w:rsidRDefault="00127016" w:rsidP="00127016">
      <w:pPr>
        <w:pStyle w:val="ConsPlusNormal"/>
        <w:tabs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5.3. План мероприятий («дорожная карта») по снижению рисков нарушения антимонопольного законодательства утверждается руководителем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Pr="007D252A">
        <w:rPr>
          <w:rFonts w:ascii="Times New Roman" w:hAnsi="Times New Roman" w:cs="Times New Roman"/>
          <w:sz w:val="26"/>
          <w:szCs w:val="26"/>
        </w:rPr>
        <w:t xml:space="preserve">или уполномоченным им лицом и размещается на официальном сайте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Pr="007D252A">
        <w:rPr>
          <w:rFonts w:ascii="Times New Roman" w:hAnsi="Times New Roman" w:cs="Times New Roman"/>
          <w:sz w:val="26"/>
          <w:szCs w:val="26"/>
        </w:rPr>
        <w:t>в сети Интернет.</w:t>
      </w:r>
    </w:p>
    <w:p w:rsidR="00127016" w:rsidRPr="007D252A" w:rsidRDefault="00127016" w:rsidP="00127016">
      <w:pPr>
        <w:pStyle w:val="ConsPlusNormal"/>
        <w:tabs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5.4. Уполномоченный </w:t>
      </w:r>
      <w:r>
        <w:rPr>
          <w:rFonts w:ascii="Times New Roman" w:hAnsi="Times New Roman" w:cs="Times New Roman"/>
          <w:sz w:val="26"/>
          <w:szCs w:val="26"/>
        </w:rPr>
        <w:t xml:space="preserve">сотрудник </w:t>
      </w:r>
      <w:r w:rsidRPr="007D252A">
        <w:rPr>
          <w:rFonts w:ascii="Times New Roman" w:hAnsi="Times New Roman" w:cs="Times New Roman"/>
          <w:sz w:val="26"/>
          <w:szCs w:val="26"/>
        </w:rPr>
        <w:t>на постоянной основе осуществляет мониторинг исполнения планов мероприятий («дорожной карты») по снижению рисков нарушения антимонопольного законодательства.</w:t>
      </w:r>
    </w:p>
    <w:p w:rsidR="00127016" w:rsidRPr="007D252A" w:rsidRDefault="00127016" w:rsidP="00127016">
      <w:pPr>
        <w:pStyle w:val="ConsPlusNormal"/>
        <w:tabs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5.5. Информация об утверждении и исполнении планов мероприятий («дорожной карты») по снижению рисков нарушения антимонопольного законодательства направляется в уполномоченный орган Администрации Курской области для включается в Доклад об антимонопольном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>.</w:t>
      </w:r>
    </w:p>
    <w:p w:rsidR="00127016" w:rsidRPr="007D252A" w:rsidRDefault="00127016" w:rsidP="00127016">
      <w:pPr>
        <w:pStyle w:val="ConsPlusNormal"/>
        <w:tabs>
          <w:tab w:val="left" w:pos="1134"/>
          <w:tab w:val="left" w:pos="1276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27016" w:rsidRPr="007D252A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D252A">
        <w:rPr>
          <w:rFonts w:ascii="Times New Roman" w:hAnsi="Times New Roman" w:cs="Times New Roman"/>
          <w:b/>
          <w:sz w:val="26"/>
          <w:szCs w:val="26"/>
        </w:rPr>
        <w:t>6. Организация обучения государственных гражданских</w:t>
      </w:r>
    </w:p>
    <w:p w:rsidR="00127016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D25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D252A">
        <w:rPr>
          <w:rFonts w:ascii="Times New Roman" w:hAnsi="Times New Roman" w:cs="Times New Roman"/>
          <w:b/>
          <w:sz w:val="26"/>
          <w:szCs w:val="26"/>
        </w:rPr>
        <w:t>служащих</w:t>
      </w:r>
      <w:proofErr w:type="gramEnd"/>
      <w:r w:rsidRPr="007D252A">
        <w:rPr>
          <w:rFonts w:ascii="Times New Roman" w:hAnsi="Times New Roman" w:cs="Times New Roman"/>
          <w:b/>
          <w:sz w:val="26"/>
          <w:szCs w:val="26"/>
        </w:rPr>
        <w:t xml:space="preserve"> (работников) </w:t>
      </w:r>
      <w:r>
        <w:rPr>
          <w:rFonts w:ascii="Times New Roman" w:hAnsi="Times New Roman" w:cs="Times New Roman"/>
          <w:b/>
          <w:sz w:val="26"/>
          <w:szCs w:val="26"/>
        </w:rPr>
        <w:t>комитета строительства Курской области</w:t>
      </w:r>
    </w:p>
    <w:p w:rsidR="00127016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 w:rsidRPr="007D252A">
        <w:rPr>
          <w:rFonts w:ascii="Times New Roman" w:hAnsi="Times New Roman" w:cs="Times New Roman"/>
          <w:b/>
          <w:sz w:val="26"/>
          <w:szCs w:val="26"/>
        </w:rPr>
        <w:t>требованиям</w:t>
      </w:r>
      <w:proofErr w:type="gramEnd"/>
      <w:r w:rsidRPr="007D252A">
        <w:rPr>
          <w:rFonts w:ascii="Times New Roman" w:hAnsi="Times New Roman" w:cs="Times New Roman"/>
          <w:b/>
          <w:sz w:val="26"/>
          <w:szCs w:val="26"/>
        </w:rPr>
        <w:t xml:space="preserve"> антимонопольного законодательства и антимонопольного </w:t>
      </w:r>
      <w:proofErr w:type="spellStart"/>
      <w:r w:rsidRPr="007D252A">
        <w:rPr>
          <w:rFonts w:ascii="Times New Roman" w:hAnsi="Times New Roman" w:cs="Times New Roman"/>
          <w:b/>
          <w:sz w:val="26"/>
          <w:szCs w:val="26"/>
        </w:rPr>
        <w:t>комплаенса</w:t>
      </w:r>
      <w:proofErr w:type="spellEnd"/>
    </w:p>
    <w:p w:rsidR="00127016" w:rsidRPr="007D252A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6.1. </w:t>
      </w:r>
      <w:r>
        <w:rPr>
          <w:rFonts w:ascii="Times New Roman" w:hAnsi="Times New Roman" w:cs="Times New Roman"/>
          <w:sz w:val="26"/>
          <w:szCs w:val="26"/>
        </w:rPr>
        <w:t>Комитет</w:t>
      </w:r>
      <w:r w:rsidRPr="007D25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при содействии уполномоченного органа Администрации </w:t>
      </w:r>
      <w:r w:rsidRPr="007D252A">
        <w:rPr>
          <w:rFonts w:ascii="Times New Roman" w:hAnsi="Times New Roman" w:cs="Times New Roman"/>
          <w:sz w:val="26"/>
          <w:szCs w:val="26"/>
        </w:rPr>
        <w:t xml:space="preserve">Курской области организует систематическое обучение своих государственных гражданских служащих (работников) требованиям антимонопольного законодательства и антимонопольного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 xml:space="preserve"> в следующих формах:</w:t>
      </w:r>
    </w:p>
    <w:p w:rsidR="00127016" w:rsidRPr="007D252A" w:rsidRDefault="00127016" w:rsidP="00127016">
      <w:pPr>
        <w:pStyle w:val="ConsPlusNormal"/>
        <w:tabs>
          <w:tab w:val="left" w:pos="851"/>
          <w:tab w:val="left" w:pos="1276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вводный (первичный) инструктаж;</w:t>
      </w:r>
    </w:p>
    <w:p w:rsidR="00127016" w:rsidRPr="007D252A" w:rsidRDefault="00127016" w:rsidP="00127016">
      <w:pPr>
        <w:pStyle w:val="ConsPlusNormal"/>
        <w:tabs>
          <w:tab w:val="left" w:pos="851"/>
          <w:tab w:val="left" w:pos="1276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целевой (внеплановый) инструктаж;</w:t>
      </w:r>
    </w:p>
    <w:p w:rsidR="00127016" w:rsidRPr="007D252A" w:rsidRDefault="00127016" w:rsidP="00127016">
      <w:pPr>
        <w:pStyle w:val="ConsPlusNormal"/>
        <w:tabs>
          <w:tab w:val="left" w:pos="851"/>
          <w:tab w:val="left" w:pos="1276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повышение квалификации;</w:t>
      </w:r>
    </w:p>
    <w:p w:rsidR="00127016" w:rsidRPr="007D252A" w:rsidRDefault="00127016" w:rsidP="00127016">
      <w:pPr>
        <w:pStyle w:val="ConsPlusNormal"/>
        <w:tabs>
          <w:tab w:val="left" w:pos="851"/>
          <w:tab w:val="left" w:pos="1276"/>
        </w:tabs>
        <w:ind w:firstLine="68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плановая аттестация.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6.2. 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государственных гражданских служащих (работников)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Pr="007D252A">
        <w:rPr>
          <w:rFonts w:ascii="Times New Roman" w:hAnsi="Times New Roman" w:cs="Times New Roman"/>
          <w:sz w:val="26"/>
          <w:szCs w:val="26"/>
        </w:rPr>
        <w:t>на государственную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6.3. Целевой (внеплановый) инструктаж проводится при изменении </w:t>
      </w:r>
      <w:r w:rsidRPr="007D252A">
        <w:rPr>
          <w:rFonts w:ascii="Times New Roman" w:hAnsi="Times New Roman" w:cs="Times New Roman"/>
          <w:sz w:val="26"/>
          <w:szCs w:val="26"/>
        </w:rPr>
        <w:lastRenderedPageBreak/>
        <w:t xml:space="preserve">антимонопольного законодательства, настоящего Положения и при выявлении антимонопольным органом или уполномоченным признаков нарушения (установления факта) антимонопольного законодательства в деятельности </w:t>
      </w:r>
      <w:r>
        <w:rPr>
          <w:rFonts w:ascii="Times New Roman" w:hAnsi="Times New Roman" w:cs="Times New Roman"/>
          <w:sz w:val="26"/>
          <w:szCs w:val="26"/>
        </w:rPr>
        <w:t>комитета</w:t>
      </w:r>
      <w:r w:rsidRPr="007D252A">
        <w:rPr>
          <w:rFonts w:ascii="Times New Roman" w:hAnsi="Times New Roman" w:cs="Times New Roman"/>
          <w:sz w:val="26"/>
          <w:szCs w:val="26"/>
        </w:rPr>
        <w:t>.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6.4. Организация повышения квалификации государственных гражданских служащих (работников) в части изучения требований антимонопольного законодательства осуществляется в соответствии с законодательством. 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6.5. Организация проведения аттестации государственных гражданских служащих (работников), в том числе по вопросам антимонопольного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>, осуществляется в соответствии с законодательством.</w:t>
      </w:r>
    </w:p>
    <w:p w:rsidR="00127016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6.6. Информация о проведении ознакомления государственных гражданских служащих (работников) с антимонопольным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 xml:space="preserve">, а также о проведении обучающих мероприятий направляется в уполномоченный орган Администрации Курской области для включения в Доклад об антимонопольном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>.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27016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bookmarkStart w:id="2" w:name="bookmark6"/>
      <w:r w:rsidRPr="007D252A">
        <w:rPr>
          <w:rFonts w:ascii="Times New Roman" w:hAnsi="Times New Roman" w:cs="Times New Roman"/>
          <w:b/>
          <w:sz w:val="26"/>
          <w:szCs w:val="26"/>
        </w:rPr>
        <w:t xml:space="preserve">7. Оценка эффективности антимонопольного </w:t>
      </w:r>
      <w:proofErr w:type="spellStart"/>
      <w:r w:rsidRPr="007D252A">
        <w:rPr>
          <w:rFonts w:ascii="Times New Roman" w:hAnsi="Times New Roman" w:cs="Times New Roman"/>
          <w:b/>
          <w:sz w:val="26"/>
          <w:szCs w:val="26"/>
        </w:rPr>
        <w:t>комплаенса</w:t>
      </w:r>
      <w:bookmarkEnd w:id="2"/>
      <w:proofErr w:type="spellEnd"/>
    </w:p>
    <w:p w:rsidR="00127016" w:rsidRPr="007D252A" w:rsidRDefault="00127016" w:rsidP="00127016">
      <w:pPr>
        <w:pStyle w:val="ConsPlusNormal"/>
        <w:ind w:firstLine="680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27016" w:rsidRPr="007D252A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7.1. В целях оценки организации и функционирования в </w:t>
      </w:r>
      <w:r>
        <w:rPr>
          <w:rFonts w:ascii="Times New Roman" w:hAnsi="Times New Roman" w:cs="Times New Roman"/>
          <w:sz w:val="26"/>
          <w:szCs w:val="26"/>
        </w:rPr>
        <w:t>комитете</w:t>
      </w:r>
      <w:r w:rsidRPr="007D252A">
        <w:rPr>
          <w:rFonts w:ascii="Times New Roman" w:hAnsi="Times New Roman" w:cs="Times New Roman"/>
          <w:sz w:val="26"/>
          <w:szCs w:val="26"/>
        </w:rPr>
        <w:t xml:space="preserve"> антимонопольного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 xml:space="preserve"> приказом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Pr="007D252A">
        <w:rPr>
          <w:rFonts w:ascii="Times New Roman" w:hAnsi="Times New Roman" w:cs="Times New Roman"/>
          <w:sz w:val="26"/>
          <w:szCs w:val="26"/>
        </w:rPr>
        <w:t xml:space="preserve">утверждаются ключевые показатели эффективности реализации мероприятий антимонопольного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 xml:space="preserve"> как отдельно уполномоченного</w:t>
      </w:r>
      <w:r>
        <w:rPr>
          <w:rFonts w:ascii="Times New Roman" w:hAnsi="Times New Roman" w:cs="Times New Roman"/>
          <w:sz w:val="26"/>
          <w:szCs w:val="26"/>
        </w:rPr>
        <w:t xml:space="preserve"> сотрудника</w:t>
      </w:r>
      <w:r w:rsidRPr="007D252A">
        <w:rPr>
          <w:rFonts w:ascii="Times New Roman" w:hAnsi="Times New Roman" w:cs="Times New Roman"/>
          <w:sz w:val="26"/>
          <w:szCs w:val="26"/>
        </w:rPr>
        <w:t xml:space="preserve">, так и </w:t>
      </w:r>
      <w:r>
        <w:rPr>
          <w:rFonts w:ascii="Times New Roman" w:hAnsi="Times New Roman" w:cs="Times New Roman"/>
          <w:sz w:val="26"/>
          <w:szCs w:val="26"/>
        </w:rPr>
        <w:t xml:space="preserve">для комитета </w:t>
      </w:r>
      <w:r w:rsidRPr="007D252A">
        <w:rPr>
          <w:rFonts w:ascii="Times New Roman" w:hAnsi="Times New Roman" w:cs="Times New Roman"/>
          <w:sz w:val="26"/>
          <w:szCs w:val="26"/>
        </w:rPr>
        <w:t xml:space="preserve">в целом. </w:t>
      </w:r>
    </w:p>
    <w:p w:rsidR="00127016" w:rsidRPr="007D252A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7.2. Ключевые показатели для уполномоченного </w:t>
      </w:r>
      <w:r>
        <w:rPr>
          <w:rFonts w:ascii="Times New Roman" w:hAnsi="Times New Roman" w:cs="Times New Roman"/>
          <w:sz w:val="26"/>
          <w:szCs w:val="26"/>
        </w:rPr>
        <w:t xml:space="preserve">сотрудника </w:t>
      </w:r>
      <w:r w:rsidRPr="007D252A">
        <w:rPr>
          <w:rFonts w:ascii="Times New Roman" w:hAnsi="Times New Roman" w:cs="Times New Roman"/>
          <w:sz w:val="26"/>
          <w:szCs w:val="26"/>
        </w:rPr>
        <w:t>устанавливаются в целях оценки эффективности мероприятий, осуществляемых уполномоченным.</w:t>
      </w:r>
    </w:p>
    <w:p w:rsidR="00127016" w:rsidRPr="007D252A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7.3. Ключевыми показателями для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Pr="007D252A">
        <w:rPr>
          <w:rFonts w:ascii="Times New Roman" w:hAnsi="Times New Roman" w:cs="Times New Roman"/>
          <w:sz w:val="26"/>
          <w:szCs w:val="26"/>
        </w:rPr>
        <w:t xml:space="preserve">в целом устанавливаются в целях снижения рисков нарушения антимонопольного законодательства в деятельности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Pr="007D252A">
        <w:rPr>
          <w:rFonts w:ascii="Times New Roman" w:hAnsi="Times New Roman" w:cs="Times New Roman"/>
          <w:sz w:val="26"/>
          <w:szCs w:val="26"/>
        </w:rPr>
        <w:t>по результатам выявления и оценки рисков, с учетом уровней рисков, приведенных в таблице 1 раздела 3 настоящего Положения.</w:t>
      </w:r>
    </w:p>
    <w:p w:rsidR="00127016" w:rsidRPr="007D252A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7.4. Уполномоченный </w:t>
      </w:r>
      <w:r>
        <w:rPr>
          <w:rFonts w:ascii="Times New Roman" w:hAnsi="Times New Roman" w:cs="Times New Roman"/>
          <w:sz w:val="26"/>
          <w:szCs w:val="26"/>
        </w:rPr>
        <w:t xml:space="preserve">сотрудник </w:t>
      </w:r>
      <w:r w:rsidRPr="007D252A">
        <w:rPr>
          <w:rFonts w:ascii="Times New Roman" w:hAnsi="Times New Roman" w:cs="Times New Roman"/>
          <w:sz w:val="26"/>
          <w:szCs w:val="26"/>
        </w:rPr>
        <w:t xml:space="preserve">ежегодно проводит оценку достижения ключевых показателей эффективности реализации мероприятий антимонопольного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>.</w:t>
      </w:r>
    </w:p>
    <w:p w:rsidR="00127016" w:rsidRPr="007D252A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>7.5. Уполномоченный</w:t>
      </w:r>
      <w:r>
        <w:rPr>
          <w:rFonts w:ascii="Times New Roman" w:hAnsi="Times New Roman" w:cs="Times New Roman"/>
          <w:sz w:val="26"/>
          <w:szCs w:val="26"/>
        </w:rPr>
        <w:t xml:space="preserve"> сотрудник</w:t>
      </w:r>
      <w:r w:rsidRPr="007D252A">
        <w:rPr>
          <w:rFonts w:ascii="Times New Roman" w:hAnsi="Times New Roman" w:cs="Times New Roman"/>
          <w:sz w:val="26"/>
          <w:szCs w:val="26"/>
        </w:rPr>
        <w:t xml:space="preserve"> при необходимости ежегодно проводит актуализацию ключевых показателей эффективности реализации мероприятий антимонопольного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>.</w:t>
      </w:r>
    </w:p>
    <w:p w:rsidR="00127016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7.6. Информация о достижении ключевых показателей эффективности реализации мероприятий антимонопольного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 xml:space="preserve"> включается в Доклад об антимонопольном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>.</w:t>
      </w:r>
    </w:p>
    <w:p w:rsidR="00127016" w:rsidRPr="007D252A" w:rsidRDefault="00127016" w:rsidP="00127016">
      <w:pPr>
        <w:pStyle w:val="ConsPlusNormal"/>
        <w:tabs>
          <w:tab w:val="left" w:pos="993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27016" w:rsidRDefault="00127016" w:rsidP="00127016">
      <w:pPr>
        <w:pStyle w:val="ConsPlusNormal"/>
        <w:numPr>
          <w:ilvl w:val="0"/>
          <w:numId w:val="1"/>
        </w:numPr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D252A">
        <w:rPr>
          <w:rFonts w:ascii="Times New Roman" w:hAnsi="Times New Roman" w:cs="Times New Roman"/>
          <w:b/>
          <w:sz w:val="26"/>
          <w:szCs w:val="26"/>
        </w:rPr>
        <w:t xml:space="preserve">Доклад об антимонопольном </w:t>
      </w:r>
      <w:proofErr w:type="spellStart"/>
      <w:r w:rsidRPr="007D252A">
        <w:rPr>
          <w:rFonts w:ascii="Times New Roman" w:hAnsi="Times New Roman" w:cs="Times New Roman"/>
          <w:b/>
          <w:sz w:val="26"/>
          <w:szCs w:val="26"/>
        </w:rPr>
        <w:t>комплаенсе</w:t>
      </w:r>
      <w:proofErr w:type="spellEnd"/>
    </w:p>
    <w:p w:rsidR="00127016" w:rsidRPr="007D252A" w:rsidRDefault="00127016" w:rsidP="00127016">
      <w:pPr>
        <w:pStyle w:val="ConsPlusNormal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127016" w:rsidRPr="007D252A" w:rsidRDefault="00127016" w:rsidP="00127016">
      <w:pPr>
        <w:pStyle w:val="ConsPlusNormal"/>
        <w:numPr>
          <w:ilvl w:val="1"/>
          <w:numId w:val="1"/>
        </w:numPr>
        <w:tabs>
          <w:tab w:val="left" w:pos="851"/>
        </w:tabs>
        <w:ind w:left="0"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Доклад об антимонопольном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 xml:space="preserve"> должен содержать: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7D252A">
        <w:rPr>
          <w:rFonts w:ascii="Times New Roman" w:hAnsi="Times New Roman" w:cs="Times New Roman"/>
          <w:sz w:val="26"/>
          <w:szCs w:val="26"/>
        </w:rPr>
        <w:t>информацию о проведении выявления и оценки рисков нарушения антимонопольного законодательства;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7D252A">
        <w:rPr>
          <w:rFonts w:ascii="Times New Roman" w:hAnsi="Times New Roman" w:cs="Times New Roman"/>
          <w:sz w:val="26"/>
          <w:szCs w:val="26"/>
        </w:rPr>
        <w:t xml:space="preserve"> 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–</w:t>
      </w:r>
      <w:r w:rsidRPr="007D252A">
        <w:rPr>
          <w:rFonts w:ascii="Times New Roman" w:hAnsi="Times New Roman" w:cs="Times New Roman"/>
          <w:sz w:val="26"/>
          <w:szCs w:val="26"/>
        </w:rPr>
        <w:t xml:space="preserve"> информацию о проведении ознакомления государственных гражданских служащих (работников) с антимонопольным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комплаенсом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>, а также о проведении обучающих мероприятий;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Pr="007D252A">
        <w:rPr>
          <w:rFonts w:ascii="Times New Roman" w:hAnsi="Times New Roman" w:cs="Times New Roman"/>
          <w:sz w:val="26"/>
          <w:szCs w:val="26"/>
        </w:rPr>
        <w:t xml:space="preserve"> информацию о достижении ключевых показателей эффективности реализации мероприятий антимонопольного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комплаенса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>.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680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 xml:space="preserve">8.2. Доклад об антимонопольном </w:t>
      </w:r>
      <w:proofErr w:type="spellStart"/>
      <w:r w:rsidRPr="007D252A">
        <w:rPr>
          <w:rFonts w:ascii="Times New Roman" w:hAnsi="Times New Roman" w:cs="Times New Roman"/>
          <w:sz w:val="26"/>
          <w:szCs w:val="26"/>
        </w:rPr>
        <w:t>комплаенсе</w:t>
      </w:r>
      <w:proofErr w:type="spellEnd"/>
      <w:r w:rsidRPr="007D25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комитета </w:t>
      </w:r>
      <w:r w:rsidRPr="007D252A">
        <w:rPr>
          <w:rFonts w:ascii="Times New Roman" w:hAnsi="Times New Roman" w:cs="Times New Roman"/>
          <w:sz w:val="26"/>
          <w:szCs w:val="26"/>
        </w:rPr>
        <w:t xml:space="preserve">не реже 1 раза в год направляется уполномоченным </w:t>
      </w:r>
      <w:r>
        <w:rPr>
          <w:rFonts w:ascii="Times New Roman" w:hAnsi="Times New Roman" w:cs="Times New Roman"/>
          <w:sz w:val="26"/>
          <w:szCs w:val="26"/>
        </w:rPr>
        <w:t xml:space="preserve">сотрудником </w:t>
      </w:r>
      <w:r w:rsidRPr="007D252A">
        <w:rPr>
          <w:rFonts w:ascii="Times New Roman" w:hAnsi="Times New Roman" w:cs="Times New Roman"/>
          <w:sz w:val="26"/>
          <w:szCs w:val="26"/>
        </w:rPr>
        <w:t>в уполномоченный орган Администрации Курской области.</w:t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27016" w:rsidRDefault="00127016" w:rsidP="00127016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127016" w:rsidRPr="007D252A" w:rsidRDefault="00127016" w:rsidP="00127016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127016" w:rsidRPr="007D252A" w:rsidRDefault="00127016" w:rsidP="00127016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  <w:t>Приложение 1</w:t>
      </w:r>
    </w:p>
    <w:p w:rsidR="00127016" w:rsidRDefault="00127016" w:rsidP="00127016">
      <w:pPr>
        <w:pStyle w:val="ConsPlusNormal"/>
        <w:tabs>
          <w:tab w:val="left" w:pos="851"/>
        </w:tabs>
        <w:ind w:left="4956" w:right="-285"/>
        <w:jc w:val="center"/>
        <w:outlineLvl w:val="1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7D252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7D252A">
        <w:rPr>
          <w:rFonts w:ascii="Times New Roman" w:hAnsi="Times New Roman" w:cs="Times New Roman"/>
          <w:sz w:val="26"/>
          <w:szCs w:val="26"/>
        </w:rPr>
        <w:t xml:space="preserve"> </w:t>
      </w:r>
      <w:r w:rsidRPr="007D252A">
        <w:rPr>
          <w:rFonts w:ascii="Times New Roman" w:hAnsi="Times New Roman" w:cs="Times New Roman"/>
          <w:sz w:val="26"/>
          <w:szCs w:val="26"/>
          <w:lang w:eastAsia="ar-SA"/>
        </w:rPr>
        <w:t>Положению об организации</w:t>
      </w:r>
      <w:r w:rsidRPr="007D252A"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6"/>
          <w:szCs w:val="26"/>
          <w:lang w:eastAsia="ar-SA"/>
        </w:rPr>
        <w:t>комитете строительства</w:t>
      </w:r>
    </w:p>
    <w:p w:rsidR="00127016" w:rsidRPr="007D252A" w:rsidRDefault="00127016" w:rsidP="00127016">
      <w:pPr>
        <w:pStyle w:val="ConsPlusNormal"/>
        <w:tabs>
          <w:tab w:val="left" w:pos="851"/>
        </w:tabs>
        <w:ind w:left="4956" w:right="-285"/>
        <w:jc w:val="center"/>
        <w:outlineLvl w:val="1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К</w:t>
      </w:r>
      <w:r w:rsidRPr="007D252A">
        <w:rPr>
          <w:rFonts w:ascii="Times New Roman" w:hAnsi="Times New Roman" w:cs="Times New Roman"/>
          <w:sz w:val="26"/>
          <w:szCs w:val="26"/>
          <w:lang w:eastAsia="ar-SA"/>
        </w:rPr>
        <w:t>урской области</w:t>
      </w:r>
    </w:p>
    <w:p w:rsidR="00127016" w:rsidRDefault="00127016" w:rsidP="00127016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27016" w:rsidRDefault="00127016" w:rsidP="00127016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27016" w:rsidRPr="007D252A" w:rsidRDefault="00127016" w:rsidP="00127016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27016" w:rsidRPr="007D252A" w:rsidRDefault="00127016" w:rsidP="00127016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D252A">
        <w:rPr>
          <w:rFonts w:ascii="Times New Roman" w:hAnsi="Times New Roman" w:cs="Times New Roman"/>
          <w:b/>
          <w:sz w:val="26"/>
          <w:szCs w:val="26"/>
        </w:rPr>
        <w:t>Карта рисков</w:t>
      </w:r>
    </w:p>
    <w:p w:rsidR="00127016" w:rsidRPr="007D252A" w:rsidRDefault="00127016" w:rsidP="00127016">
      <w:pPr>
        <w:pStyle w:val="ConsPlusNormal"/>
        <w:tabs>
          <w:tab w:val="left" w:pos="851"/>
        </w:tabs>
        <w:ind w:left="284" w:right="141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"/>
        <w:gridCol w:w="1394"/>
        <w:gridCol w:w="1142"/>
        <w:gridCol w:w="1647"/>
        <w:gridCol w:w="1774"/>
        <w:gridCol w:w="1520"/>
        <w:gridCol w:w="1516"/>
      </w:tblGrid>
      <w:tr w:rsidR="00127016" w:rsidRPr="00AA332F" w:rsidTr="00151F43">
        <w:tc>
          <w:tcPr>
            <w:tcW w:w="189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746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Выявленные риски</w:t>
            </w:r>
          </w:p>
        </w:tc>
        <w:tc>
          <w:tcPr>
            <w:tcW w:w="611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left="-38" w:right="-99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Описание рисков</w:t>
            </w:r>
          </w:p>
        </w:tc>
        <w:tc>
          <w:tcPr>
            <w:tcW w:w="881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left="-110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Причины возникновения рисков</w:t>
            </w:r>
          </w:p>
        </w:tc>
        <w:tc>
          <w:tcPr>
            <w:tcW w:w="949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Мероприятия по минимизации и устранению рисков</w:t>
            </w:r>
          </w:p>
        </w:tc>
        <w:tc>
          <w:tcPr>
            <w:tcW w:w="813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  <w:tab w:val="left" w:pos="1208"/>
              </w:tabs>
              <w:ind w:left="-67" w:right="14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Наличие (отсутствие) остаточных рисков</w:t>
            </w:r>
          </w:p>
        </w:tc>
        <w:tc>
          <w:tcPr>
            <w:tcW w:w="812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right="1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Вероятность повторного возникновения рисков</w:t>
            </w:r>
          </w:p>
        </w:tc>
      </w:tr>
      <w:tr w:rsidR="00127016" w:rsidRPr="007D252A" w:rsidTr="00151F43">
        <w:tc>
          <w:tcPr>
            <w:tcW w:w="189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746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611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81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49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13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12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141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127016" w:rsidRDefault="00127016" w:rsidP="00127016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27016" w:rsidRDefault="00127016" w:rsidP="00127016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27016" w:rsidRDefault="00127016" w:rsidP="00127016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27016" w:rsidRDefault="00127016" w:rsidP="00127016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27016" w:rsidRPr="007D252A" w:rsidRDefault="00127016" w:rsidP="00127016">
      <w:pPr>
        <w:pStyle w:val="ConsPlusNormal"/>
        <w:tabs>
          <w:tab w:val="left" w:pos="851"/>
        </w:tabs>
        <w:ind w:left="284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r w:rsidRPr="007D252A">
        <w:rPr>
          <w:rFonts w:ascii="Times New Roman" w:hAnsi="Times New Roman" w:cs="Times New Roman"/>
          <w:sz w:val="26"/>
          <w:szCs w:val="26"/>
        </w:rPr>
        <w:tab/>
      </w:r>
      <w:bookmarkStart w:id="3" w:name="_Hlk787410"/>
      <w:r w:rsidRPr="007D252A">
        <w:rPr>
          <w:rFonts w:ascii="Times New Roman" w:hAnsi="Times New Roman" w:cs="Times New Roman"/>
          <w:sz w:val="26"/>
          <w:szCs w:val="26"/>
        </w:rPr>
        <w:t>Приложение 2</w:t>
      </w:r>
    </w:p>
    <w:p w:rsidR="00127016" w:rsidRDefault="00127016" w:rsidP="00127016">
      <w:pPr>
        <w:pStyle w:val="ConsPlusNormal"/>
        <w:tabs>
          <w:tab w:val="left" w:pos="851"/>
        </w:tabs>
        <w:ind w:left="4956" w:right="-285"/>
        <w:jc w:val="center"/>
        <w:outlineLvl w:val="1"/>
        <w:rPr>
          <w:rFonts w:ascii="Times New Roman" w:hAnsi="Times New Roman" w:cs="Times New Roman"/>
          <w:sz w:val="26"/>
          <w:szCs w:val="26"/>
          <w:lang w:eastAsia="ar-SA"/>
        </w:rPr>
      </w:pPr>
      <w:proofErr w:type="gramStart"/>
      <w:r w:rsidRPr="007D252A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Pr="007D252A">
        <w:rPr>
          <w:rFonts w:ascii="Times New Roman" w:hAnsi="Times New Roman" w:cs="Times New Roman"/>
          <w:sz w:val="26"/>
          <w:szCs w:val="26"/>
        </w:rPr>
        <w:t xml:space="preserve"> </w:t>
      </w:r>
      <w:r w:rsidRPr="007D252A">
        <w:rPr>
          <w:rFonts w:ascii="Times New Roman" w:hAnsi="Times New Roman" w:cs="Times New Roman"/>
          <w:sz w:val="26"/>
          <w:szCs w:val="26"/>
          <w:lang w:eastAsia="ar-SA"/>
        </w:rPr>
        <w:t>Положению об организации</w:t>
      </w:r>
      <w:r w:rsidRPr="007D252A">
        <w:rPr>
          <w:rFonts w:ascii="Times New Roman" w:hAnsi="Times New Roman" w:cs="Times New Roman"/>
          <w:sz w:val="26"/>
          <w:szCs w:val="26"/>
          <w:lang w:eastAsia="ar-SA"/>
        </w:rPr>
        <w:br/>
        <w:t xml:space="preserve">системы внутреннего обеспечения соответствия требованиям антимонопольного законодательства в </w:t>
      </w:r>
      <w:r>
        <w:rPr>
          <w:rFonts w:ascii="Times New Roman" w:hAnsi="Times New Roman" w:cs="Times New Roman"/>
          <w:sz w:val="26"/>
          <w:szCs w:val="26"/>
          <w:lang w:eastAsia="ar-SA"/>
        </w:rPr>
        <w:t>комитете строительства</w:t>
      </w:r>
    </w:p>
    <w:p w:rsidR="00127016" w:rsidRPr="007D252A" w:rsidRDefault="00127016" w:rsidP="00127016">
      <w:pPr>
        <w:pStyle w:val="ConsPlusNormal"/>
        <w:tabs>
          <w:tab w:val="left" w:pos="851"/>
        </w:tabs>
        <w:ind w:left="4956" w:right="-285"/>
        <w:jc w:val="center"/>
        <w:outlineLvl w:val="1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К</w:t>
      </w:r>
      <w:r w:rsidRPr="007D252A">
        <w:rPr>
          <w:rFonts w:ascii="Times New Roman" w:hAnsi="Times New Roman" w:cs="Times New Roman"/>
          <w:sz w:val="26"/>
          <w:szCs w:val="26"/>
          <w:lang w:eastAsia="ar-SA"/>
        </w:rPr>
        <w:t>урской области</w:t>
      </w:r>
    </w:p>
    <w:p w:rsidR="00127016" w:rsidRPr="007D252A" w:rsidRDefault="00127016" w:rsidP="00127016">
      <w:pPr>
        <w:pStyle w:val="ConsPlusNormal"/>
        <w:tabs>
          <w:tab w:val="left" w:pos="851"/>
        </w:tabs>
        <w:ind w:left="4956" w:right="-285"/>
        <w:jc w:val="center"/>
        <w:outlineLvl w:val="1"/>
        <w:rPr>
          <w:rFonts w:ascii="Times New Roman" w:hAnsi="Times New Roman" w:cs="Times New Roman"/>
          <w:sz w:val="26"/>
          <w:szCs w:val="26"/>
          <w:lang w:eastAsia="ar-SA"/>
        </w:rPr>
      </w:pPr>
    </w:p>
    <w:bookmarkEnd w:id="3"/>
    <w:p w:rsidR="00127016" w:rsidRPr="007D252A" w:rsidRDefault="00127016" w:rsidP="00127016">
      <w:pPr>
        <w:pStyle w:val="ConsPlusNormal"/>
        <w:tabs>
          <w:tab w:val="left" w:pos="851"/>
        </w:tabs>
        <w:ind w:right="-285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127016" w:rsidRPr="007D252A" w:rsidRDefault="00127016" w:rsidP="00127016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7D252A">
        <w:rPr>
          <w:rFonts w:ascii="Times New Roman" w:hAnsi="Times New Roman" w:cs="Times New Roman"/>
          <w:b/>
          <w:sz w:val="26"/>
          <w:szCs w:val="26"/>
        </w:rPr>
        <w:t xml:space="preserve">План мероприятий («дорожная карта») </w:t>
      </w:r>
    </w:p>
    <w:p w:rsidR="00127016" w:rsidRPr="007D252A" w:rsidRDefault="00127016" w:rsidP="00127016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D252A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  <w:r w:rsidRPr="007D252A">
        <w:rPr>
          <w:rFonts w:ascii="Times New Roman" w:hAnsi="Times New Roman" w:cs="Times New Roman"/>
          <w:b/>
          <w:sz w:val="26"/>
          <w:szCs w:val="26"/>
        </w:rPr>
        <w:t xml:space="preserve"> снижению рисков нарушения антимонопольного законодательства</w:t>
      </w:r>
    </w:p>
    <w:p w:rsidR="00127016" w:rsidRPr="007D252A" w:rsidRDefault="00127016" w:rsidP="00127016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802"/>
        <w:gridCol w:w="2491"/>
        <w:gridCol w:w="1936"/>
        <w:gridCol w:w="967"/>
        <w:gridCol w:w="1522"/>
      </w:tblGrid>
      <w:tr w:rsidR="00127016" w:rsidRPr="00AA332F" w:rsidTr="00151F43">
        <w:tc>
          <w:tcPr>
            <w:tcW w:w="349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0"/>
                <w:tab w:val="left" w:pos="851"/>
              </w:tabs>
              <w:ind w:right="-285" w:hanging="284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961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right="-285" w:hanging="243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Мероприятие</w:t>
            </w:r>
          </w:p>
        </w:tc>
        <w:tc>
          <w:tcPr>
            <w:tcW w:w="1329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left="-101" w:right="-285" w:hanging="282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Описание действий</w:t>
            </w:r>
          </w:p>
        </w:tc>
        <w:tc>
          <w:tcPr>
            <w:tcW w:w="1033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right="-285" w:hanging="253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Ответственный</w:t>
            </w:r>
          </w:p>
        </w:tc>
        <w:tc>
          <w:tcPr>
            <w:tcW w:w="516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right="-285" w:hanging="385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Срок</w:t>
            </w:r>
          </w:p>
        </w:tc>
        <w:tc>
          <w:tcPr>
            <w:tcW w:w="812" w:type="pct"/>
            <w:shd w:val="clear" w:color="auto" w:fill="auto"/>
          </w:tcPr>
          <w:p w:rsidR="00127016" w:rsidRPr="00AA332F" w:rsidRDefault="00127016" w:rsidP="00151F43">
            <w:pPr>
              <w:pStyle w:val="ConsPlusNormal"/>
              <w:tabs>
                <w:tab w:val="left" w:pos="851"/>
              </w:tabs>
              <w:ind w:right="-285" w:hanging="398"/>
              <w:jc w:val="center"/>
              <w:outlineLvl w:val="1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A332F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Показатель</w:t>
            </w:r>
          </w:p>
        </w:tc>
      </w:tr>
      <w:tr w:rsidR="00127016" w:rsidRPr="007D252A" w:rsidTr="00151F43">
        <w:tc>
          <w:tcPr>
            <w:tcW w:w="349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961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329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3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516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812" w:type="pct"/>
            <w:shd w:val="clear" w:color="auto" w:fill="auto"/>
          </w:tcPr>
          <w:p w:rsidR="00127016" w:rsidRPr="007D252A" w:rsidRDefault="00127016" w:rsidP="00151F43">
            <w:pPr>
              <w:pStyle w:val="ConsPlusNormal"/>
              <w:tabs>
                <w:tab w:val="left" w:pos="851"/>
              </w:tabs>
              <w:ind w:right="-285"/>
              <w:jc w:val="center"/>
              <w:outlineLvl w:val="1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127016" w:rsidRPr="007D252A" w:rsidRDefault="00127016" w:rsidP="00127016">
      <w:pPr>
        <w:pStyle w:val="ConsPlusNormal"/>
        <w:tabs>
          <w:tab w:val="left" w:pos="851"/>
        </w:tabs>
        <w:ind w:right="-285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127016" w:rsidRPr="007D252A" w:rsidRDefault="00127016" w:rsidP="00127016">
      <w:pPr>
        <w:jc w:val="both"/>
        <w:rPr>
          <w:rFonts w:ascii="Times New Roman" w:hAnsi="Times New Roman"/>
          <w:sz w:val="28"/>
          <w:szCs w:val="28"/>
        </w:rPr>
      </w:pPr>
    </w:p>
    <w:p w:rsidR="002B521E" w:rsidRDefault="002B521E"/>
    <w:sectPr w:rsidR="002B521E" w:rsidSect="00670AFB">
      <w:headerReference w:type="default" r:id="rId5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4384218"/>
      <w:docPartObj>
        <w:docPartGallery w:val="Page Numbers (Top of Page)"/>
        <w:docPartUnique/>
      </w:docPartObj>
    </w:sdtPr>
    <w:sdtEndPr/>
    <w:sdtContent>
      <w:p w:rsidR="00670AFB" w:rsidRDefault="001270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fldChar w:fldCharType="end"/>
        </w:r>
      </w:p>
    </w:sdtContent>
  </w:sdt>
  <w:p w:rsidR="00670AFB" w:rsidRDefault="001270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C454AF"/>
    <w:multiLevelType w:val="multilevel"/>
    <w:tmpl w:val="2F5AD7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016"/>
    <w:rsid w:val="00127016"/>
    <w:rsid w:val="002B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FDDF6-80C9-472E-9479-7303D14F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0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7016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127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 + Полужирный"/>
    <w:rsid w:val="00127016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1270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70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2626</Words>
  <Characters>14973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Нескородева</dc:creator>
  <cp:keywords/>
  <dc:description/>
  <cp:lastModifiedBy>Нескородева</cp:lastModifiedBy>
  <cp:revision>1</cp:revision>
  <dcterms:created xsi:type="dcterms:W3CDTF">2023-02-14T12:13:00Z</dcterms:created>
  <dcterms:modified xsi:type="dcterms:W3CDTF">2023-02-14T12:14:00Z</dcterms:modified>
</cp:coreProperties>
</file>