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22" w:before="322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 xml:space="preserve">Отчет о результатах деятельности независимых экспертов по проведению антикоррупционной экспертизы нормативных правовых актов и их проектов, разработанных Министерством </w:t>
      </w:r>
      <w:r>
        <w:rPr>
          <w:rFonts w:ascii="Times New Roman" w:hAnsi="Times New Roman"/>
          <w:b w:val="1"/>
          <w:color w:val="020C22"/>
          <w:sz w:val="48"/>
        </w:rPr>
        <w:t>социального обеспечения, материнства и детства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48"/>
        </w:rPr>
        <w:t xml:space="preserve"> Курской области в 2024 году</w:t>
      </w:r>
    </w:p>
    <w:p w14:paraId="0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</w:rPr>
        <w:t xml:space="preserve">Заключений по результатам проведения независимой антикоррупционной экспертизы нормативных правовых актов и проектов нормативных правовых актов, разработчиком которых является Министерство 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</w:rPr>
        <w:t xml:space="preserve"> Курской области, в 2024 года не поступало.</w:t>
      </w:r>
    </w:p>
    <w:p w14:paraId="03000000">
      <w:pPr>
        <w:pStyle w:val="Style_1"/>
      </w:pPr>
      <w: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2025-02-28T09:19:13Z</dcterms:modified>
</cp:coreProperties>
</file>