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A0" w:rsidRDefault="00E25CA0" w:rsidP="00E25CA0">
      <w:pPr>
        <w:jc w:val="right"/>
        <w:rPr>
          <w:sz w:val="28"/>
        </w:rPr>
      </w:pPr>
      <w:r>
        <w:rPr>
          <w:sz w:val="28"/>
        </w:rPr>
        <w:t>ПРОЕКТ</w:t>
      </w:r>
    </w:p>
    <w:p w:rsidR="00E25CA0" w:rsidRDefault="00E25CA0" w:rsidP="00E25CA0">
      <w:pPr>
        <w:jc w:val="center"/>
        <w:outlineLvl w:val="0"/>
        <w:rPr>
          <w:b/>
          <w:sz w:val="32"/>
        </w:rPr>
      </w:pPr>
    </w:p>
    <w:p w:rsidR="00E25CA0" w:rsidRDefault="00E25CA0" w:rsidP="00E25CA0">
      <w:pPr>
        <w:jc w:val="center"/>
        <w:outlineLvl w:val="0"/>
        <w:rPr>
          <w:b/>
          <w:sz w:val="34"/>
        </w:rPr>
      </w:pPr>
      <w:r>
        <w:rPr>
          <w:b/>
          <w:sz w:val="34"/>
        </w:rPr>
        <w:t>ПРАВИТЕЛЬСТВО  КУРСКОЙ  ОБЛАСТИ</w:t>
      </w:r>
    </w:p>
    <w:p w:rsidR="00E25CA0" w:rsidRDefault="00E25CA0" w:rsidP="00E25CA0">
      <w:pPr>
        <w:jc w:val="center"/>
        <w:rPr>
          <w:b/>
          <w:spacing w:val="80"/>
          <w:sz w:val="22"/>
        </w:rPr>
      </w:pPr>
      <w:r>
        <w:rPr>
          <w:b/>
          <w:spacing w:val="80"/>
          <w:sz w:val="10"/>
        </w:rPr>
        <w:t xml:space="preserve"> </w:t>
      </w:r>
    </w:p>
    <w:p w:rsidR="00E25CA0" w:rsidRDefault="00E25CA0" w:rsidP="00E25CA0">
      <w:pPr>
        <w:jc w:val="center"/>
        <w:rPr>
          <w:spacing w:val="40"/>
          <w:sz w:val="30"/>
        </w:rPr>
      </w:pPr>
      <w:r>
        <w:rPr>
          <w:spacing w:val="40"/>
          <w:sz w:val="30"/>
        </w:rPr>
        <w:t>ПОСТАНОВЛЕНИЕ</w:t>
      </w:r>
    </w:p>
    <w:p w:rsidR="00E25CA0" w:rsidRDefault="00E25CA0" w:rsidP="00E25CA0">
      <w:pPr>
        <w:jc w:val="center"/>
        <w:rPr>
          <w:sz w:val="16"/>
        </w:rPr>
      </w:pPr>
    </w:p>
    <w:p w:rsidR="00E25CA0" w:rsidRDefault="00E25CA0" w:rsidP="00E25CA0">
      <w:pPr>
        <w:jc w:val="center"/>
        <w:rPr>
          <w:sz w:val="26"/>
        </w:rPr>
      </w:pPr>
      <w:r>
        <w:rPr>
          <w:sz w:val="26"/>
        </w:rPr>
        <w:t>от _______________  № ______________</w:t>
      </w:r>
    </w:p>
    <w:p w:rsidR="00E25CA0" w:rsidRDefault="00E25CA0" w:rsidP="00E25CA0">
      <w:pPr>
        <w:jc w:val="center"/>
        <w:rPr>
          <w:sz w:val="16"/>
        </w:rPr>
      </w:pPr>
    </w:p>
    <w:p w:rsidR="00E25CA0" w:rsidRDefault="00E25CA0" w:rsidP="00E25CA0">
      <w:pPr>
        <w:jc w:val="center"/>
        <w:rPr>
          <w:sz w:val="16"/>
        </w:rPr>
      </w:pPr>
    </w:p>
    <w:p w:rsidR="00E25CA0" w:rsidRDefault="00E25CA0" w:rsidP="00E25CA0">
      <w:pPr>
        <w:jc w:val="center"/>
        <w:rPr>
          <w:sz w:val="16"/>
        </w:rPr>
      </w:pPr>
    </w:p>
    <w:p w:rsidR="00E25CA0" w:rsidRDefault="00E25CA0" w:rsidP="00E25CA0">
      <w:pPr>
        <w:jc w:val="center"/>
        <w:rPr>
          <w:sz w:val="26"/>
        </w:rPr>
      </w:pPr>
      <w:r>
        <w:rPr>
          <w:sz w:val="26"/>
        </w:rPr>
        <w:t>г. Курск</w:t>
      </w:r>
    </w:p>
    <w:p w:rsidR="00E25CA0" w:rsidRDefault="00E25CA0" w:rsidP="00E25CA0">
      <w:pPr>
        <w:rPr>
          <w:sz w:val="28"/>
        </w:rPr>
      </w:pPr>
    </w:p>
    <w:p w:rsidR="00E25CA0" w:rsidRDefault="00E25CA0" w:rsidP="00E25CA0">
      <w:pPr>
        <w:jc w:val="center"/>
        <w:rPr>
          <w:b/>
          <w:color w:val="FFFFFF" w:themeColor="background1"/>
          <w:sz w:val="28"/>
        </w:rPr>
      </w:pPr>
      <w:r>
        <w:rPr>
          <w:b/>
          <w:sz w:val="28"/>
        </w:rPr>
        <w:t>О внесении изменений в Стратегию цифровой трансформации ключевых отраслей экономики, социальной сферы и государственного управления Курской области на период с 2021 по 2024 годы</w:t>
      </w:r>
    </w:p>
    <w:p w:rsidR="00E25CA0" w:rsidRDefault="00E25CA0" w:rsidP="00E25CA0">
      <w:pPr>
        <w:rPr>
          <w:color w:val="FFFFFF" w:themeColor="background1"/>
          <w:sz w:val="28"/>
        </w:rPr>
      </w:pPr>
    </w:p>
    <w:p w:rsidR="00E25CA0" w:rsidRDefault="00E25CA0" w:rsidP="00E25CA0">
      <w:pPr>
        <w:rPr>
          <w:color w:val="FFFFFF" w:themeColor="background1"/>
          <w:sz w:val="28"/>
        </w:rPr>
      </w:pPr>
    </w:p>
    <w:p w:rsidR="00E25CA0" w:rsidRDefault="00E25CA0" w:rsidP="00E25CA0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Правительство Курской области ПОСТАНОВЛЯЕТ:</w:t>
      </w:r>
    </w:p>
    <w:p w:rsidR="00E25CA0" w:rsidRDefault="00E25CA0" w:rsidP="00E25CA0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Утвердить прилагаемые изменения, которые вносятся в Стратегию цифровой трансформации ключевых отраслей экономики, социальной сферы и государственного управления Курской области на период с 2021 по 2024 годы, утвержденную постановлением Администрации Курской области от 20.08.2021 № 880-па (в редакции постановления Администрации Курской области от 31.08.2022 № 958-па, постановления Правительства Курской области от 31.08.2023 № 953-пп).</w:t>
      </w:r>
      <w:r>
        <w:rPr>
          <w:sz w:val="28"/>
        </w:rPr>
        <w:tab/>
      </w:r>
    </w:p>
    <w:p w:rsidR="00E25CA0" w:rsidRDefault="00E25CA0" w:rsidP="00E25CA0">
      <w:pPr>
        <w:jc w:val="both"/>
        <w:rPr>
          <w:sz w:val="28"/>
        </w:rPr>
      </w:pPr>
    </w:p>
    <w:p w:rsidR="00E25CA0" w:rsidRDefault="00E25CA0" w:rsidP="00E25CA0">
      <w:pPr>
        <w:jc w:val="both"/>
        <w:rPr>
          <w:sz w:val="28"/>
        </w:rPr>
      </w:pPr>
    </w:p>
    <w:p w:rsidR="00E25CA0" w:rsidRDefault="00E25CA0" w:rsidP="00E25CA0">
      <w:pPr>
        <w:jc w:val="both"/>
        <w:rPr>
          <w:sz w:val="28"/>
        </w:rPr>
      </w:pPr>
    </w:p>
    <w:p w:rsidR="00E25CA0" w:rsidRDefault="00E25CA0" w:rsidP="00E25CA0">
      <w:pPr>
        <w:jc w:val="both"/>
        <w:rPr>
          <w:sz w:val="27"/>
        </w:rPr>
      </w:pPr>
      <w:r>
        <w:rPr>
          <w:sz w:val="27"/>
        </w:rPr>
        <w:t xml:space="preserve">Первый заместитель Губернатора </w:t>
      </w:r>
    </w:p>
    <w:p w:rsidR="00E25CA0" w:rsidRDefault="00E25CA0" w:rsidP="00E25CA0">
      <w:pPr>
        <w:jc w:val="both"/>
        <w:rPr>
          <w:sz w:val="27"/>
        </w:rPr>
      </w:pPr>
      <w:r>
        <w:rPr>
          <w:sz w:val="27"/>
        </w:rPr>
        <w:t>Курской области -</w:t>
      </w:r>
    </w:p>
    <w:p w:rsidR="00E25CA0" w:rsidRDefault="00E25CA0" w:rsidP="00E25CA0">
      <w:pPr>
        <w:jc w:val="both"/>
        <w:rPr>
          <w:sz w:val="27"/>
        </w:rPr>
      </w:pPr>
      <w:r>
        <w:rPr>
          <w:sz w:val="27"/>
        </w:rPr>
        <w:t>Председатель Правительства</w:t>
      </w:r>
    </w:p>
    <w:p w:rsidR="00E25CA0" w:rsidRDefault="00E25CA0" w:rsidP="00E25CA0">
      <w:pPr>
        <w:jc w:val="both"/>
        <w:rPr>
          <w:sz w:val="27"/>
        </w:rPr>
      </w:pPr>
      <w:r>
        <w:rPr>
          <w:sz w:val="27"/>
        </w:rPr>
        <w:t>Курской области                                                                                     А.В. Дедов</w:t>
      </w:r>
    </w:p>
    <w:p w:rsidR="00E25CA0" w:rsidRDefault="00E25CA0" w:rsidP="00E25CA0">
      <w:pPr>
        <w:jc w:val="both"/>
        <w:rPr>
          <w:sz w:val="27"/>
        </w:rPr>
      </w:pPr>
    </w:p>
    <w:p w:rsidR="00E25CA0" w:rsidRDefault="00E25CA0" w:rsidP="00E25CA0">
      <w:pPr>
        <w:jc w:val="both"/>
        <w:rPr>
          <w:sz w:val="27"/>
        </w:rPr>
      </w:pPr>
    </w:p>
    <w:p w:rsidR="00E25CA0" w:rsidRDefault="00E25CA0" w:rsidP="00E25CA0">
      <w:pPr>
        <w:jc w:val="both"/>
        <w:rPr>
          <w:sz w:val="27"/>
        </w:rPr>
      </w:pPr>
    </w:p>
    <w:p w:rsidR="00E25CA0" w:rsidRDefault="00E25CA0" w:rsidP="00E25CA0">
      <w:pPr>
        <w:jc w:val="both"/>
        <w:rPr>
          <w:sz w:val="27"/>
        </w:rPr>
      </w:pPr>
      <w:bookmarkStart w:id="0" w:name="_GoBack"/>
      <w:bookmarkEnd w:id="0"/>
    </w:p>
    <w:p w:rsidR="00E25CA0" w:rsidRDefault="00E25CA0" w:rsidP="00E25CA0">
      <w:pPr>
        <w:jc w:val="both"/>
        <w:rPr>
          <w:sz w:val="27"/>
        </w:rPr>
      </w:pPr>
    </w:p>
    <w:p w:rsidR="00E25CA0" w:rsidRDefault="00E25CA0" w:rsidP="00E25CA0">
      <w:pPr>
        <w:jc w:val="both"/>
        <w:rPr>
          <w:sz w:val="27"/>
        </w:rPr>
      </w:pPr>
    </w:p>
    <w:p w:rsidR="00E25CA0" w:rsidRDefault="00E25CA0" w:rsidP="00E25CA0">
      <w:pPr>
        <w:jc w:val="both"/>
        <w:rPr>
          <w:sz w:val="27"/>
        </w:rPr>
      </w:pPr>
    </w:p>
    <w:p w:rsidR="00E25CA0" w:rsidRDefault="00E25CA0" w:rsidP="00E25CA0">
      <w:pPr>
        <w:jc w:val="both"/>
        <w:rPr>
          <w:sz w:val="27"/>
        </w:rPr>
      </w:pPr>
    </w:p>
    <w:p w:rsidR="00E25CA0" w:rsidRDefault="00E25CA0" w:rsidP="00E25CA0">
      <w:pPr>
        <w:jc w:val="both"/>
        <w:rPr>
          <w:sz w:val="27"/>
        </w:rPr>
      </w:pPr>
    </w:p>
    <w:p w:rsidR="00E25CA0" w:rsidRDefault="00E25CA0" w:rsidP="00E25CA0">
      <w:pPr>
        <w:jc w:val="both"/>
        <w:rPr>
          <w:sz w:val="27"/>
        </w:rPr>
      </w:pPr>
    </w:p>
    <w:p w:rsidR="00E25CA0" w:rsidRDefault="00E25CA0" w:rsidP="00E25CA0">
      <w:pPr>
        <w:jc w:val="both"/>
        <w:rPr>
          <w:sz w:val="27"/>
        </w:rPr>
      </w:pPr>
    </w:p>
    <w:p w:rsidR="00E25CA0" w:rsidRDefault="00E25CA0" w:rsidP="00E25CA0">
      <w:pPr>
        <w:jc w:val="both"/>
        <w:rPr>
          <w:sz w:val="27"/>
        </w:rPr>
      </w:pPr>
    </w:p>
    <w:p w:rsidR="00E25CA0" w:rsidRDefault="00E25CA0"/>
    <w:tbl>
      <w:tblPr>
        <w:tblpPr w:leftFromText="181" w:rightFromText="181" w:vertAnchor="text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252"/>
      </w:tblGrid>
      <w:tr w:rsidR="00B231AF">
        <w:tc>
          <w:tcPr>
            <w:tcW w:w="4815" w:type="dxa"/>
            <w:shd w:val="clear" w:color="auto" w:fill="auto"/>
          </w:tcPr>
          <w:p w:rsidR="00B231AF" w:rsidRDefault="00B231AF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25CA0" w:rsidRDefault="00E25CA0">
            <w:pPr>
              <w:jc w:val="center"/>
              <w:rPr>
                <w:sz w:val="28"/>
              </w:rPr>
            </w:pPr>
          </w:p>
          <w:p w:rsidR="00B231AF" w:rsidRDefault="005C15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B231AF" w:rsidRDefault="005C1538">
            <w:pPr>
              <w:ind w:left="-108" w:right="-108"/>
              <w:jc w:val="right"/>
              <w:rPr>
                <w:sz w:val="28"/>
              </w:rPr>
            </w:pPr>
            <w:r>
              <w:rPr>
                <w:sz w:val="28"/>
              </w:rPr>
              <w:t>постановлением Правительства</w:t>
            </w:r>
          </w:p>
          <w:p w:rsidR="00B231AF" w:rsidRDefault="005C15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Курской области</w:t>
            </w:r>
          </w:p>
          <w:p w:rsidR="00B231AF" w:rsidRDefault="005C1538">
            <w:pPr>
              <w:ind w:right="-109"/>
              <w:jc w:val="center"/>
              <w:rPr>
                <w:sz w:val="28"/>
              </w:rPr>
            </w:pPr>
            <w:r>
              <w:rPr>
                <w:sz w:val="28"/>
              </w:rPr>
              <w:t>от ________________ № _______</w:t>
            </w:r>
          </w:p>
        </w:tc>
      </w:tr>
    </w:tbl>
    <w:p w:rsidR="00B231AF" w:rsidRDefault="005C1538">
      <w:pPr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-272415</wp:posOffset>
                </wp:positionV>
                <wp:extent cx="190500" cy="2095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B231AF" w:rsidRDefault="00B231AF">
      <w:pPr>
        <w:jc w:val="center"/>
        <w:rPr>
          <w:b/>
          <w:sz w:val="28"/>
        </w:rPr>
      </w:pPr>
    </w:p>
    <w:p w:rsidR="00B231AF" w:rsidRDefault="00B231AF">
      <w:pPr>
        <w:jc w:val="center"/>
        <w:rPr>
          <w:b/>
          <w:sz w:val="28"/>
        </w:rPr>
      </w:pPr>
    </w:p>
    <w:p w:rsidR="00B231AF" w:rsidRDefault="005C1538">
      <w:pPr>
        <w:jc w:val="center"/>
        <w:rPr>
          <w:b/>
          <w:sz w:val="28"/>
        </w:rPr>
      </w:pPr>
      <w:r>
        <w:rPr>
          <w:b/>
          <w:sz w:val="28"/>
        </w:rPr>
        <w:t>И З М Е Н Е Н И Я,</w:t>
      </w:r>
    </w:p>
    <w:p w:rsidR="00B231AF" w:rsidRDefault="005C1538">
      <w:pPr>
        <w:jc w:val="center"/>
        <w:rPr>
          <w:b/>
          <w:sz w:val="28"/>
        </w:rPr>
      </w:pPr>
      <w:r>
        <w:rPr>
          <w:b/>
          <w:sz w:val="28"/>
        </w:rPr>
        <w:t xml:space="preserve">которые вносятся в Стратегию цифровой трансформации ключевых отраслей экономики, социальной сферы и государственного управления Курской области на период с 2021 по 2024 годы </w:t>
      </w:r>
    </w:p>
    <w:p w:rsidR="00B231AF" w:rsidRDefault="00B231AF">
      <w:pPr>
        <w:jc w:val="center"/>
        <w:rPr>
          <w:sz w:val="20"/>
        </w:rPr>
      </w:pPr>
    </w:p>
    <w:p w:rsidR="00B231AF" w:rsidRDefault="005C1538">
      <w:pPr>
        <w:widowControl/>
        <w:numPr>
          <w:ilvl w:val="0"/>
          <w:numId w:val="1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Абзац второй пункта 1.1 раздела 1 «Основные положения» изложить в следующей редакции:</w:t>
      </w:r>
    </w:p>
    <w:p w:rsidR="00B231AF" w:rsidRDefault="005C1538">
      <w:pPr>
        <w:widowControl/>
        <w:tabs>
          <w:tab w:val="left" w:pos="993"/>
        </w:tabs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«Указ Президента Российской Федерации от 7 мая 2024 года № 309 «О национальных целях развития Российской Федерации на период до    2030 года и на перспективу до 2036 года»;».</w:t>
      </w:r>
    </w:p>
    <w:p w:rsidR="00B231AF" w:rsidRDefault="005C1538">
      <w:pPr>
        <w:widowControl/>
        <w:numPr>
          <w:ilvl w:val="0"/>
          <w:numId w:val="1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Абзац семнадцатый пункта 4.5 раздела 4 «Проблемы и вызовы цифровой трансформации» исключить.</w:t>
      </w:r>
    </w:p>
    <w:p w:rsidR="0098124B" w:rsidRDefault="0098124B" w:rsidP="0098124B">
      <w:pPr>
        <w:widowControl/>
        <w:numPr>
          <w:ilvl w:val="0"/>
          <w:numId w:val="1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В разделе</w:t>
      </w:r>
      <w:r w:rsidR="005C1538">
        <w:rPr>
          <w:sz w:val="28"/>
        </w:rPr>
        <w:t xml:space="preserve"> 5 «Взаимосвязь задач и проектов Стратегии цифровой трансформации»</w:t>
      </w:r>
      <w:r>
        <w:rPr>
          <w:sz w:val="28"/>
        </w:rPr>
        <w:t>:</w:t>
      </w:r>
    </w:p>
    <w:p w:rsidR="0098124B" w:rsidRPr="0098124B" w:rsidRDefault="0098124B" w:rsidP="0098124B">
      <w:pPr>
        <w:pStyle w:val="afc"/>
        <w:numPr>
          <w:ilvl w:val="0"/>
          <w:numId w:val="8"/>
        </w:numPr>
        <w:ind w:left="0" w:firstLine="709"/>
        <w:jc w:val="both"/>
        <w:rPr>
          <w:sz w:val="28"/>
        </w:rPr>
        <w:sectPr w:rsidR="0098124B" w:rsidRPr="0098124B">
          <w:headerReference w:type="default" r:id="rId7"/>
          <w:pgSz w:w="11905" w:h="16837"/>
          <w:pgMar w:top="1134" w:right="1134" w:bottom="1134" w:left="1701" w:header="709" w:footer="709" w:gutter="0"/>
          <w:cols w:space="720"/>
        </w:sectPr>
      </w:pPr>
      <w:r w:rsidRPr="0098124B">
        <w:rPr>
          <w:sz w:val="28"/>
        </w:rPr>
        <w:t>подраздел 2 изложить в следующей редакции:</w:t>
      </w:r>
    </w:p>
    <w:p w:rsidR="00743E9C" w:rsidRDefault="005C1538" w:rsidP="00FC2C83">
      <w:pPr>
        <w:ind w:left="-1418"/>
        <w:rPr>
          <w:sz w:val="16"/>
        </w:rPr>
      </w:pPr>
      <w:r>
        <w:rPr>
          <w:sz w:val="28"/>
        </w:rPr>
        <w:lastRenderedPageBreak/>
        <w:t>«</w:t>
      </w:r>
    </w:p>
    <w:p w:rsidR="00B231AF" w:rsidRPr="00743E9C" w:rsidRDefault="00B231AF" w:rsidP="00FC2C83">
      <w:pPr>
        <w:ind w:left="-1418"/>
        <w:rPr>
          <w:sz w:val="16"/>
        </w:rPr>
      </w:pPr>
    </w:p>
    <w:tbl>
      <w:tblPr>
        <w:tblW w:w="16160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50"/>
        <w:gridCol w:w="3802"/>
        <w:gridCol w:w="3120"/>
        <w:gridCol w:w="2978"/>
        <w:gridCol w:w="5810"/>
      </w:tblGrid>
      <w:tr w:rsidR="00743E9C" w:rsidTr="00743E9C">
        <w:tc>
          <w:tcPr>
            <w:tcW w:w="16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 Здравоохранение</w:t>
            </w:r>
          </w:p>
        </w:tc>
      </w:tr>
      <w:tr w:rsidR="00743E9C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Задача отрасли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Бенефициар проекта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Выгоды для бенефициара проекта</w:t>
            </w:r>
          </w:p>
        </w:tc>
      </w:tr>
      <w:tr w:rsidR="00743E9C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743E9C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качества и преемственности оказания медицинской помощи на всех этапах. Переход к пациент-центрированной модели оказания медицинской помощи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медицинских платформенных решений федерального уровня - Вертикально интегрированной медицинской информационной системы (далее - ВИМИС) (рекомендовано ФОИВ)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Государственные компании и организации.</w:t>
            </w:r>
            <w:r>
              <w:rPr>
                <w:sz w:val="20"/>
              </w:rPr>
              <w:br/>
              <w:t>Население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Снижение доли пациентов, несвоевременно получивших медицинскую помощь. Получение пациент-центрированной медицинской помощи в соответствии с утвержденными порядками и стандартами. Обеспечение преемственности оказания медицинской помощи, эффективная маршрутизация пациентов. Координация деятельности медицинских организаций по профилям. Получение организационно-методической помощи от Национального медицинского исследовательского центра (далее - НМИЦ). Разработка и продвижение новых цифровых технологий, продуктов и сервисов, развитие отечественных ИТ-решений, развитие медицинских информационных систем и платформенных решений, в т.ч. на основе анализа больших данных (big data)</w:t>
            </w:r>
          </w:p>
        </w:tc>
      </w:tr>
      <w:tr w:rsidR="00743E9C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Повышение эффективности функционирования системы здравоохранения на основе создания единого информационного пространства (цифрового контура), внедрения новых цифровых технологий и платформенных решений, в том числе с использованием электронного документооборота, межведомственного электронного взаимодействия, телемедицинских технологий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(далее- ЕГИСЗ) (рекомендовано ФОИВ)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Государственные компании и организации.</w:t>
            </w:r>
            <w:r>
              <w:rPr>
                <w:sz w:val="20"/>
              </w:rPr>
              <w:br/>
              <w:t>Население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Значимое повышение удовлетворенности населения качеством и доступностью медицинской помощи при использовании цифровых медицинских сервисов и получении дистанционных медицинских услуг. Удобное получение государственных услуг, связанных с межведомственным взаимодействием. Создание цифрового профиля пациента. Повышение эффективности лечения при получении полной и достоверной информации о состоянии здоровья пациента и оказанной ему медицинской помощи на протяжении всей жизни пациента независимо от места его проживания и медицинского обслуживания. Высокое качество, полнота и достоверность информации об оказанной медицинской помощи. Осуществление медицинской деятельности в соответствии с порядками оказания медицинской помощи и клиническими рекомендациями. Разработка и продвижение новых цифровых технологий, продуктов и сервисов, развитие отечественных ИТ-решений в области медицинских информационных систем</w:t>
            </w:r>
          </w:p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</w:p>
        </w:tc>
      </w:tr>
      <w:tr w:rsidR="00743E9C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743E9C" w:rsidTr="00FC2C83">
        <w:trPr>
          <w:trHeight w:val="1199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Эффективное управление ресурсами регионального здравоохранения, обеспечение граждан квалифицированной </w:t>
            </w:r>
            <w:r w:rsidR="00FC2C83">
              <w:rPr>
                <w:sz w:val="20"/>
              </w:rPr>
              <w:t>и своевременной медицинской помощью, объемы, виды и качество которой соответствуют уровню заболеваемости и потребностям населения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в здравоохранении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Жители регионов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граждан квалифицированной и своевременной медицинской помощью, объемы, виды и качество которой соответствуют уровню заболеваемости и потребностям населения</w:t>
            </w:r>
            <w:r w:rsidR="00FC2C83">
              <w:rPr>
                <w:sz w:val="20"/>
              </w:rPr>
              <w:t>. Использование цифровых технологий и решений на основе технологий больших данных (big data) для анализа и прогнозирования</w:t>
            </w:r>
            <w:r>
              <w:rPr>
                <w:sz w:val="20"/>
              </w:rPr>
              <w:t xml:space="preserve">. </w:t>
            </w:r>
          </w:p>
        </w:tc>
      </w:tr>
      <w:tr w:rsidR="00743E9C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Исполнительные органы Курской области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Управление ресурсами здравоохранения, обеспечение экономической и финансовой эффективности. Повышение удовлетворенности населения оказываемыми медицинскими услугами, снижение социальной напряженности</w:t>
            </w:r>
          </w:p>
        </w:tc>
      </w:tr>
      <w:tr w:rsidR="00743E9C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E9C" w:rsidRDefault="00743E9C" w:rsidP="00FC2C83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Организации - Деятельность в области информационных технологий и разработка программного обеспечения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продвижение новых цифровых технологий и решений на основе технологий больших данных (big data)</w:t>
            </w:r>
          </w:p>
        </w:tc>
      </w:tr>
      <w:tr w:rsidR="00743E9C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Трансформация системы регионального здравоохранения на новой технологической базе с широким использованием новых подходов к профилактике, диагностике, лечению и реабилитации, в том числе с использованием ИИ-решений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Внедрение технологий искусственного интеллекта в отрасли здравоохранения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Организации - Деятельность в области информационных технологий и разработка программного обеспечения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Повышение для граждан качества и доступности профилактики, скрининга, диагностик, лечения, сопровождения, реабилитации в соответствии с принципами персонализованной медицины. Повышение качества оказания медицинской помощи с использованием систем поддержки принятия управленческих решений. Существенное повышение эффективности принятия управленческих решений как в области оказания медицинской помощи, так и управленческой ИИ-аналитики, разработка и продвижение, развитие отечественных ИИ-решений</w:t>
            </w:r>
          </w:p>
        </w:tc>
      </w:tr>
    </w:tbl>
    <w:p w:rsidR="00B231AF" w:rsidRDefault="00743E9C" w:rsidP="00FC2C83">
      <w:pPr>
        <w:ind w:right="-739"/>
        <w:jc w:val="right"/>
        <w:rPr>
          <w:sz w:val="28"/>
        </w:rPr>
      </w:pPr>
      <w:r>
        <w:rPr>
          <w:sz w:val="28"/>
        </w:rPr>
        <w:t>»;</w:t>
      </w:r>
    </w:p>
    <w:p w:rsidR="00F7014B" w:rsidRDefault="0098124B" w:rsidP="00FC2C83">
      <w:pPr>
        <w:pStyle w:val="afc"/>
        <w:numPr>
          <w:ilvl w:val="0"/>
          <w:numId w:val="8"/>
        </w:numPr>
        <w:ind w:left="0" w:right="-739" w:firstLine="709"/>
        <w:rPr>
          <w:sz w:val="28"/>
        </w:rPr>
      </w:pPr>
      <w:r w:rsidRPr="0098124B">
        <w:rPr>
          <w:sz w:val="28"/>
        </w:rPr>
        <w:t>подразделы 5,6 изложить в следующей редакции:</w:t>
      </w:r>
    </w:p>
    <w:p w:rsidR="00FC2C83" w:rsidRDefault="00FC2C83" w:rsidP="00FC2C83">
      <w:pPr>
        <w:ind w:right="-739"/>
        <w:rPr>
          <w:sz w:val="28"/>
        </w:rPr>
      </w:pPr>
    </w:p>
    <w:p w:rsidR="00FC2C83" w:rsidRDefault="00FC2C83" w:rsidP="00FC2C83">
      <w:pPr>
        <w:ind w:right="-739"/>
        <w:rPr>
          <w:sz w:val="28"/>
        </w:rPr>
      </w:pPr>
    </w:p>
    <w:p w:rsidR="00FC2C83" w:rsidRDefault="00FC2C83" w:rsidP="00FC2C83">
      <w:pPr>
        <w:ind w:right="-739"/>
        <w:rPr>
          <w:sz w:val="28"/>
        </w:rPr>
      </w:pPr>
    </w:p>
    <w:p w:rsidR="00FC2C83" w:rsidRDefault="00FC2C83" w:rsidP="00FC2C83">
      <w:pPr>
        <w:ind w:right="-739"/>
        <w:rPr>
          <w:sz w:val="28"/>
        </w:rPr>
      </w:pPr>
    </w:p>
    <w:p w:rsidR="00FC2C83" w:rsidRDefault="00FC2C83" w:rsidP="00FC2C83">
      <w:pPr>
        <w:ind w:right="-739"/>
        <w:rPr>
          <w:sz w:val="28"/>
        </w:rPr>
      </w:pPr>
    </w:p>
    <w:p w:rsidR="00FC2C83" w:rsidRDefault="00FC2C83" w:rsidP="00FC2C83">
      <w:pPr>
        <w:ind w:right="-739"/>
        <w:rPr>
          <w:sz w:val="28"/>
        </w:rPr>
      </w:pPr>
    </w:p>
    <w:p w:rsidR="00FC2C83" w:rsidRPr="00FC2C83" w:rsidRDefault="00FC2C83" w:rsidP="00FC2C83">
      <w:pPr>
        <w:ind w:right="-739"/>
        <w:rPr>
          <w:sz w:val="28"/>
        </w:rPr>
      </w:pPr>
    </w:p>
    <w:p w:rsidR="00743E9C" w:rsidRPr="00743E9C" w:rsidRDefault="00743E9C" w:rsidP="00FC2C83">
      <w:pPr>
        <w:widowControl/>
        <w:tabs>
          <w:tab w:val="left" w:pos="993"/>
        </w:tabs>
        <w:ind w:left="-1418"/>
        <w:jc w:val="both"/>
        <w:rPr>
          <w:sz w:val="28"/>
        </w:rPr>
      </w:pPr>
      <w:r>
        <w:rPr>
          <w:sz w:val="28"/>
        </w:rPr>
        <w:lastRenderedPageBreak/>
        <w:t>«</w:t>
      </w:r>
    </w:p>
    <w:p w:rsidR="00743E9C" w:rsidRDefault="00743E9C" w:rsidP="00FC2C83">
      <w:pPr>
        <w:rPr>
          <w:sz w:val="16"/>
        </w:rPr>
      </w:pPr>
    </w:p>
    <w:tbl>
      <w:tblPr>
        <w:tblW w:w="16160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50"/>
        <w:gridCol w:w="3802"/>
        <w:gridCol w:w="3120"/>
        <w:gridCol w:w="2978"/>
        <w:gridCol w:w="5810"/>
      </w:tblGrid>
      <w:tr w:rsidR="00B231AF" w:rsidTr="00743E9C">
        <w:tc>
          <w:tcPr>
            <w:tcW w:w="16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 w:rsidP="00FC2C83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5. Государственное управление</w:t>
            </w:r>
          </w:p>
        </w:tc>
      </w:tr>
      <w:tr w:rsidR="00B231AF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отрасли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Бенефициар проекта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Выгоды для бенефициара проекта</w:t>
            </w:r>
          </w:p>
        </w:tc>
      </w:tr>
      <w:tr w:rsidR="009C7154" w:rsidTr="00AA67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FC2C83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9C7154" w:rsidTr="00FC2C83">
        <w:trPr>
          <w:trHeight w:val="164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FC2C8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Оптимизация процессов предоставления государственных и муниципальных услуг, оказываемых органами государственной власти, органами местного самоуправления Курской области и их подведомственными организациями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Государственная информационная система «Типовое облачное решение по автоматизации контрольной (надзорной) деятельности» (рекомендовано ФОИВ)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 предприниматели.</w:t>
            </w:r>
            <w:r>
              <w:rPr>
                <w:sz w:val="20"/>
              </w:rPr>
              <w:br/>
              <w:t>Исполнительные органы Курской области.</w:t>
            </w:r>
            <w:r>
              <w:rPr>
                <w:sz w:val="20"/>
              </w:rPr>
              <w:br/>
              <w:t>Коммерческие организации.</w:t>
            </w:r>
            <w:r>
              <w:rPr>
                <w:sz w:val="20"/>
              </w:rPr>
              <w:br/>
              <w:t>Органы местного самоуправления.</w:t>
            </w:r>
            <w:r>
              <w:rPr>
                <w:sz w:val="20"/>
              </w:rPr>
              <w:br/>
              <w:t>Население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Унификация информационной инфраструктуры</w:t>
            </w:r>
          </w:p>
        </w:tc>
      </w:tr>
      <w:tr w:rsidR="009C7154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FC2C8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Перевод массовых социально значимых услуг, оказываемых органами государственной власти, органами местного самоуправления Курской области и их подведомственными организациями в электронную форму с использованием Единой платформы, унификация и повышение прозрачности процесса их оказания.</w:t>
            </w:r>
            <w:r>
              <w:rPr>
                <w:sz w:val="20"/>
              </w:rPr>
              <w:br/>
              <w:t>Оптимизация процессов предоставления государственных и муниципальных услуг, оказываемых органами государственной власти, органами местного самоуправления Курской области и их подведомственными организациями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единой системы предоставления государственных и муниципальных услуг (рекомендовано ФОИВ)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Государственные компании и организации.</w:t>
            </w:r>
            <w:r>
              <w:rPr>
                <w:sz w:val="20"/>
              </w:rPr>
              <w:br/>
              <w:t>Исполнительные органы Курской области.</w:t>
            </w:r>
          </w:p>
          <w:p w:rsidR="009C7154" w:rsidRDefault="009C7154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Органы местного самоуправления.</w:t>
            </w:r>
            <w:r>
              <w:rPr>
                <w:sz w:val="20"/>
              </w:rPr>
              <w:br/>
              <w:t>Население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FC2C83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Повышение качества предоставления государственных и муниципальных услуг</w:t>
            </w:r>
          </w:p>
        </w:tc>
      </w:tr>
      <w:tr w:rsidR="009C7154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внедрения общефедеральных платформенных решений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цифровой платформы «Гостех» (рекомендовано ФОИВ)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Некоммерческие организации.</w:t>
            </w:r>
            <w:r>
              <w:rPr>
                <w:sz w:val="20"/>
              </w:rPr>
              <w:br/>
              <w:t>Государственные компании и организации.</w:t>
            </w:r>
            <w:r>
              <w:rPr>
                <w:sz w:val="20"/>
              </w:rPr>
              <w:br/>
              <w:t>Коммерческие организации.</w:t>
            </w:r>
            <w:r>
              <w:rPr>
                <w:sz w:val="20"/>
              </w:rPr>
              <w:br/>
              <w:t>Население</w:t>
            </w:r>
          </w:p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</w:p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Унификация информационной инфраструктуры</w:t>
            </w:r>
          </w:p>
        </w:tc>
      </w:tr>
      <w:tr w:rsidR="009C7154" w:rsidTr="00AA67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9C7154" w:rsidTr="00FC2C83">
        <w:trPr>
          <w:trHeight w:val="190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Обеспечение эффективного механизма взаимодействия органов государственной власти и местного управления Курской области с населением и бизнесом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Обеспечение интеграции ведомственной информационной системы «Автоматизация осуществления регионального государственного строительного надзора Курской области» с государственной информационной системой «Типовой облачное решение по автоматизации контрольной (надзорной) деятельности»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Организации - Строительство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Перевод взаимодействия участников строительной деятельности в электронную форму</w:t>
            </w:r>
          </w:p>
        </w:tc>
      </w:tr>
      <w:tr w:rsidR="009C7154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Обеспечение эффективного механизма взаимодействия органов государственной власти и местного управления Курской области с населением и бизнесом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Цифровизация мировых судов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Физические и юридические лица. </w:t>
            </w:r>
          </w:p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Исполнительные органы Курской области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надежной инфраструктуры</w:t>
            </w:r>
          </w:p>
        </w:tc>
      </w:tr>
      <w:tr w:rsidR="009C7154" w:rsidTr="00FC2C83">
        <w:trPr>
          <w:trHeight w:val="110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Обеспечение создания механизма автоматизации функций, выполняемых исполнительными органами и органами местного самоуправления Курской области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Электронный документооборот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Исполнительные органы Курской области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Переход на электронный юридически значимый документооборот</w:t>
            </w:r>
          </w:p>
        </w:tc>
      </w:tr>
      <w:tr w:rsidR="009C7154" w:rsidTr="00AA67D7">
        <w:trPr>
          <w:trHeight w:val="641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внедрения общефедеральных платформенных решений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Платформа обратной связи (далее-ПОС)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Жители регионов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Повышение эффективности взаимодействия населения и органов управления</w:t>
            </w:r>
          </w:p>
        </w:tc>
      </w:tr>
      <w:tr w:rsidR="009C7154" w:rsidTr="00743E9C">
        <w:tc>
          <w:tcPr>
            <w:tcW w:w="16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6. Социальная сфера</w:t>
            </w:r>
          </w:p>
        </w:tc>
      </w:tr>
      <w:tr w:rsidR="009C7154" w:rsidTr="00743E9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Задача отрасли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Бенефициар проекта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Выгоды для бенефициара проекта</w:t>
            </w:r>
          </w:p>
        </w:tc>
      </w:tr>
      <w:tr w:rsidR="009C7154" w:rsidTr="00AA67D7">
        <w:trPr>
          <w:trHeight w:val="1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154" w:rsidRDefault="009C7154" w:rsidP="00AA67D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9C7154" w:rsidTr="00AA67D7">
        <w:trPr>
          <w:trHeight w:val="74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Повышение эффективности предоставления мер социальной поддержки на федеральном, региональном и муниципальном уровнях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Перевод мер социальной поддержки в формат «Социального казначейства» (рекомендовано ФОИВ)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Повышение качества предоставления мер социальной поддержки</w:t>
            </w:r>
          </w:p>
        </w:tc>
      </w:tr>
      <w:tr w:rsidR="009C7154" w:rsidTr="00AA67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Переход от оказания отдельных услуг к комплексному решению проблем, связанных с трудоустройством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8A510B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Служба занятости населения (далее – СЗН) 2.0 (Модернизации государственной службы</w:t>
            </w:r>
            <w:r w:rsidR="00FC2C83">
              <w:rPr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AA67D7" w:rsidP="00AA67D7">
            <w:pPr>
              <w:widowControl/>
              <w:ind w:right="-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Индивидуальные </w:t>
            </w:r>
            <w:r w:rsidR="009C7154">
              <w:rPr>
                <w:sz w:val="20"/>
              </w:rPr>
              <w:t>предприниматели.</w:t>
            </w:r>
            <w:r w:rsidR="009C7154">
              <w:rPr>
                <w:sz w:val="20"/>
              </w:rPr>
              <w:br/>
              <w:t>Коммерческие организации.</w:t>
            </w:r>
            <w:r w:rsidR="009C7154">
              <w:rPr>
                <w:sz w:val="20"/>
              </w:rPr>
              <w:br/>
              <w:t>Граждане старше 16 лет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154" w:rsidRDefault="009C7154" w:rsidP="00AA67D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Помощь в трудоустройстве</w:t>
            </w:r>
          </w:p>
        </w:tc>
      </w:tr>
      <w:tr w:rsidR="008A510B" w:rsidTr="0012108C">
        <w:trPr>
          <w:trHeight w:val="1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A510B" w:rsidTr="0012108C">
        <w:trPr>
          <w:trHeight w:val="1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занятости населения) (рекомендовано ФОИВ)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8A510B" w:rsidTr="00AA67D7">
        <w:trPr>
          <w:trHeight w:val="102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Оптимизация взаимодействия с гражданами при получении ими мер социальной поддержки, в том числе сроков их получения, состава предоставляемых документов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Развитие информационной системы «Единый контакт ̶центр взаимодействия с гражданами» (рекомендовано ФОИВ)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Повышение качества предоставления мер социальной поддержки</w:t>
            </w:r>
          </w:p>
        </w:tc>
      </w:tr>
    </w:tbl>
    <w:p w:rsidR="005C1538" w:rsidRPr="008A510B" w:rsidRDefault="005C1538" w:rsidP="008A510B">
      <w:pPr>
        <w:ind w:right="-739"/>
        <w:jc w:val="right"/>
        <w:rPr>
          <w:sz w:val="28"/>
        </w:rPr>
      </w:pPr>
      <w:r>
        <w:rPr>
          <w:sz w:val="28"/>
        </w:rPr>
        <w:t>».</w:t>
      </w:r>
    </w:p>
    <w:p w:rsidR="005C1538" w:rsidRDefault="005C1538" w:rsidP="00AA67D7"/>
    <w:p w:rsidR="00B231AF" w:rsidRDefault="008A510B" w:rsidP="00AA67D7">
      <w:pPr>
        <w:numPr>
          <w:ilvl w:val="0"/>
          <w:numId w:val="1"/>
        </w:numPr>
        <w:ind w:left="0" w:firstLine="709"/>
        <w:jc w:val="both"/>
      </w:pPr>
      <w:r>
        <w:rPr>
          <w:sz w:val="28"/>
        </w:rPr>
        <w:t xml:space="preserve">Подразделы 5, </w:t>
      </w:r>
      <w:r w:rsidR="005C1538">
        <w:rPr>
          <w:sz w:val="28"/>
        </w:rPr>
        <w:t>6 раздела 6 «Проекты развития отрасли» изложить в следующей редакции:</w:t>
      </w:r>
    </w:p>
    <w:p w:rsidR="00B231AF" w:rsidRDefault="008A510B">
      <w:pPr>
        <w:widowControl/>
        <w:tabs>
          <w:tab w:val="left" w:pos="993"/>
        </w:tabs>
        <w:spacing w:line="100" w:lineRule="atLeast"/>
        <w:ind w:left="-1418"/>
        <w:rPr>
          <w:sz w:val="28"/>
        </w:rPr>
      </w:pPr>
      <w:r>
        <w:rPr>
          <w:sz w:val="28"/>
        </w:rPr>
        <w:t xml:space="preserve"> </w:t>
      </w:r>
      <w:r w:rsidR="005C1538">
        <w:rPr>
          <w:sz w:val="28"/>
        </w:rPr>
        <w:t>«</w:t>
      </w:r>
    </w:p>
    <w:p w:rsidR="00B231AF" w:rsidRDefault="00B231AF">
      <w:pPr>
        <w:rPr>
          <w:sz w:val="2"/>
        </w:rPr>
      </w:pPr>
    </w:p>
    <w:p w:rsidR="00B231AF" w:rsidRDefault="00B231AF">
      <w:pPr>
        <w:rPr>
          <w:sz w:val="2"/>
        </w:rPr>
      </w:pPr>
    </w:p>
    <w:p w:rsidR="00B231AF" w:rsidRDefault="00B231AF">
      <w:pPr>
        <w:rPr>
          <w:sz w:val="2"/>
        </w:rPr>
      </w:pPr>
    </w:p>
    <w:tbl>
      <w:tblPr>
        <w:tblW w:w="16160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08"/>
        <w:gridCol w:w="1634"/>
        <w:gridCol w:w="2918"/>
        <w:gridCol w:w="2269"/>
        <w:gridCol w:w="3834"/>
        <w:gridCol w:w="2547"/>
        <w:gridCol w:w="2550"/>
      </w:tblGrid>
      <w:tr w:rsidR="00B231AF" w:rsidTr="00743E9C">
        <w:tc>
          <w:tcPr>
            <w:tcW w:w="161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5. Государственное управление</w:t>
            </w:r>
          </w:p>
        </w:tc>
      </w:tr>
      <w:tr w:rsidR="00B231AF" w:rsidTr="00743E9C">
        <w:trPr>
          <w:trHeight w:val="90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ind w:left="-80" w:right="-9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Наименование проекта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Цель проекта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Срок реализации проекта / Финансирование проекта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Краткое описание проекта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tabs>
                <w:tab w:val="left" w:pos="245"/>
              </w:tabs>
              <w:ind w:left="-3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Используемые СЦТ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Роль региона в реализации проекта</w:t>
            </w:r>
          </w:p>
        </w:tc>
      </w:tr>
      <w:tr w:rsidR="00B231AF" w:rsidTr="00743E9C">
        <w:trPr>
          <w:trHeight w:val="1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1AF" w:rsidRDefault="005C1538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B231AF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Государственная информационная система «Типовое облачное решение по автоматизации контрольной (надзорной) деятельности» (рекомендовано ФОИВ)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Автоматизация процессов деятельности контрольных (надзорных) органов при организации и осуществлении видов государственного контроля (надзора), муниципального контроля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До 2025 года.</w:t>
            </w:r>
          </w:p>
          <w:p w:rsidR="00B231AF" w:rsidRDefault="005C1538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Реализуется за счет средств федерального бюджета </w:t>
            </w:r>
          </w:p>
          <w:p w:rsidR="00B231AF" w:rsidRDefault="00B231AF">
            <w:pPr>
              <w:widowControl/>
              <w:jc w:val="both"/>
              <w:rPr>
                <w:sz w:val="18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tabs>
                <w:tab w:val="left" w:pos="0"/>
                <w:tab w:val="left" w:pos="339"/>
              </w:tabs>
              <w:ind w:left="36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Оптимизация процессов деятельности контрольных (надзорных) органов путем ее автоматизации.</w:t>
            </w:r>
          </w:p>
          <w:p w:rsidR="00B231AF" w:rsidRDefault="005C1538">
            <w:pPr>
              <w:widowControl/>
              <w:tabs>
                <w:tab w:val="left" w:pos="0"/>
                <w:tab w:val="left" w:pos="339"/>
              </w:tabs>
              <w:ind w:left="36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Снижение административной нагрузки на бизнес за счет минимизации личного взаимодействия контрольного (надзорного) органа к контролируемым лицам.</w:t>
            </w:r>
          </w:p>
          <w:p w:rsidR="00B231AF" w:rsidRDefault="005C1538">
            <w:pPr>
              <w:widowControl/>
              <w:tabs>
                <w:tab w:val="left" w:pos="0"/>
                <w:tab w:val="left" w:pos="339"/>
              </w:tabs>
              <w:ind w:left="36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Повышение уровня качества данных, используемых контрольными (надзорными) органами, с целью анализа подконтрольной сферы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tabs>
                <w:tab w:val="left" w:pos="245"/>
              </w:tabs>
              <w:ind w:left="-39"/>
              <w:jc w:val="both"/>
              <w:rPr>
                <w:sz w:val="18"/>
              </w:rPr>
            </w:pPr>
            <w:r>
              <w:rPr>
                <w:sz w:val="18"/>
              </w:rPr>
              <w:t>Компьютерное зрение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Создание центра координации внедрения ГИС ТОР КНД, который организует и координирует работу по внедрению системы и обучению его пользователей; утверждению цифровых стандартов видов государственного контроля (надзора), муниципального контроля; принятию нормативных правовых актов о работе в ГИС ТОР КНД</w:t>
            </w:r>
          </w:p>
        </w:tc>
      </w:tr>
      <w:tr w:rsidR="00B231AF" w:rsidTr="008A510B">
        <w:trPr>
          <w:trHeight w:val="47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Создание единой системы предоставления государственных и муниципальных 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Перевод на единую модель процесса предоставления государственных и муниципальных услуг, в том числе в упреждающем (проактивном) режиме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До 2030 года.</w:t>
            </w:r>
          </w:p>
          <w:p w:rsidR="00B231AF" w:rsidRDefault="005C1538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Реализуется за счет средств федерального бюджета, выделение субсидий 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Создание общедоступной и бесплатной для всех органов государственной власти и органов местного самоуправления платформы, позволяющей самостоятельно переводить в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tabs>
                <w:tab w:val="left" w:pos="245"/>
              </w:tabs>
              <w:ind w:left="-39"/>
              <w:jc w:val="both"/>
              <w:rPr>
                <w:sz w:val="18"/>
              </w:rPr>
            </w:pPr>
            <w:r>
              <w:rPr>
                <w:sz w:val="18"/>
              </w:rPr>
              <w:t>Не предусмотрено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Регион-пользователь системы</w:t>
            </w:r>
          </w:p>
        </w:tc>
      </w:tr>
      <w:tr w:rsidR="008A510B" w:rsidTr="0012108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8A510B" w:rsidTr="00BE5A23">
        <w:trPr>
          <w:trHeight w:val="20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both"/>
              <w:rPr>
                <w:b/>
                <w:sz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both"/>
              <w:rPr>
                <w:b/>
                <w:sz w:val="20"/>
              </w:rPr>
            </w:pPr>
            <w:r>
              <w:rPr>
                <w:sz w:val="18"/>
              </w:rPr>
              <w:t>услуг (рекомендовано ФОИВ)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both"/>
              <w:rPr>
                <w:b/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b/>
                <w:sz w:val="20"/>
              </w:rPr>
            </w:pPr>
            <w:r>
              <w:rPr>
                <w:sz w:val="18"/>
              </w:rPr>
              <w:t>субъектам Российской Федерации не требуется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b/>
                <w:sz w:val="20"/>
              </w:rPr>
            </w:pPr>
            <w:r>
              <w:rPr>
                <w:sz w:val="18"/>
              </w:rPr>
              <w:t>электронный вид существующие услуги, предоставляемые в бумажном виде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both"/>
              <w:rPr>
                <w:b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both"/>
              <w:rPr>
                <w:b/>
                <w:sz w:val="20"/>
              </w:rPr>
            </w:pP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Создание цифровой платформы «Гостех» (рекомендовано ФОИВ)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Разработка и внедрение единого стандарта разработки государственных информационных систем в целях создания единой платформы разработки таких систем, а также предоставление </w:t>
            </w:r>
            <w:r w:rsidR="00BE5A23">
              <w:rPr>
                <w:sz w:val="18"/>
              </w:rPr>
              <w:t>органам государственной власти инструментария по созданию таких систем с минимальными затратами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До 2030 года.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Реализуется за счет федерального бюджета, доработка/разработка информационных систем, обеспечение жизненного </w:t>
            </w:r>
            <w:r w:rsidR="00BE5A23">
              <w:rPr>
                <w:sz w:val="18"/>
              </w:rPr>
              <w:t>цикла финансируется за счет владельца информационной системы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Приведение к единообразию функциональных стандартов государственных информационных систем, сокращение срока их разработки, ввода в эксплуатацию, а также стоимости дальнейшего развития с помощью единой платформы государственных технологий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numPr>
                <w:ilvl w:val="0"/>
                <w:numId w:val="2"/>
              </w:numPr>
              <w:tabs>
                <w:tab w:val="left" w:pos="206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Системы поддержки принятия решений, рекомендательные системы.</w:t>
            </w:r>
          </w:p>
          <w:p w:rsidR="008A510B" w:rsidRDefault="008A510B" w:rsidP="008A510B">
            <w:pPr>
              <w:widowControl/>
              <w:numPr>
                <w:ilvl w:val="0"/>
                <w:numId w:val="2"/>
              </w:numPr>
              <w:tabs>
                <w:tab w:val="left" w:pos="206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Компьютерное зрение.</w:t>
            </w:r>
          </w:p>
          <w:p w:rsidR="00BE5A23" w:rsidRDefault="008A510B" w:rsidP="00BE5A23">
            <w:pPr>
              <w:widowControl/>
              <w:numPr>
                <w:ilvl w:val="0"/>
                <w:numId w:val="2"/>
              </w:numPr>
              <w:tabs>
                <w:tab w:val="left" w:pos="206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и синтез речи.</w:t>
            </w:r>
            <w:r w:rsidR="00BE5A23">
              <w:rPr>
                <w:sz w:val="18"/>
              </w:rPr>
              <w:t xml:space="preserve"> </w:t>
            </w:r>
          </w:p>
          <w:p w:rsidR="00BE5A23" w:rsidRDefault="00BE5A23" w:rsidP="00BE5A23">
            <w:pPr>
              <w:widowControl/>
              <w:numPr>
                <w:ilvl w:val="0"/>
                <w:numId w:val="2"/>
              </w:numPr>
              <w:tabs>
                <w:tab w:val="left" w:pos="206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Обработка естественного языка, анализ текстов.</w:t>
            </w:r>
          </w:p>
          <w:p w:rsidR="00BE5A23" w:rsidRDefault="00BE5A23" w:rsidP="00BE5A23">
            <w:pPr>
              <w:widowControl/>
              <w:numPr>
                <w:ilvl w:val="0"/>
                <w:numId w:val="2"/>
              </w:numPr>
              <w:tabs>
                <w:tab w:val="left" w:pos="206"/>
                <w:tab w:val="left" w:pos="245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Машинный перевод.</w:t>
            </w:r>
          </w:p>
          <w:p w:rsidR="008A510B" w:rsidRPr="008010F1" w:rsidRDefault="00BE5A23" w:rsidP="00BE5A23">
            <w:pPr>
              <w:widowControl/>
              <w:numPr>
                <w:ilvl w:val="0"/>
                <w:numId w:val="2"/>
              </w:numPr>
              <w:tabs>
                <w:tab w:val="left" w:pos="206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Генерация текстов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Регион - пользователь мультитенантной платформы, которая включает в том числе платформу разработки, производственный конвейер и систему управления </w:t>
            </w:r>
            <w:r w:rsidR="00BE5A23">
              <w:rPr>
                <w:sz w:val="18"/>
              </w:rPr>
              <w:t>размещенными информационными системами. Платформа будет предоставляться регионам централизованно в режиме мультитенатности для разработки/доработки, размещения и функционирования</w:t>
            </w: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Обеспечение интеграции ведомственной информационной системы «Автоматизация осуществления регионального государственного строительного надзора Курской области» с государственной информационной системой «Типовой облачное решение по автоматизации контрольной (надзорной) деятельности»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</w:p>
          <w:p w:rsidR="00BE5A23" w:rsidRDefault="00BE5A23" w:rsidP="008A510B">
            <w:pPr>
              <w:widowControl/>
              <w:jc w:val="both"/>
              <w:rPr>
                <w:sz w:val="18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Повышение эффективности управления и прозрачности процессов при осуществлении регионального государственного строительного надзора; соблюдение архитектуры цифровой вертикали строительной отрасли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До 2024 года.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Проект реализуется за счёт средств регионального бюджета и (или) внебюджетных источников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1-ый этап: выгрузка статистических сведений из ведомственной информационной системы «Автоматизация осуществления регионального государственного строительного надзора Курской области» в ГИС ТОР КНД;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2-ой этап: получение извещения о начале строительства и других документов из ГИС ТОР КНД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245"/>
              </w:tabs>
              <w:ind w:left="-39"/>
              <w:jc w:val="both"/>
              <w:rPr>
                <w:sz w:val="18"/>
              </w:rPr>
            </w:pPr>
            <w:r>
              <w:rPr>
                <w:sz w:val="18"/>
              </w:rPr>
              <w:t>Не предусмотрено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Проект реализуется на региональном уровне</w:t>
            </w:r>
          </w:p>
        </w:tc>
      </w:tr>
      <w:tr w:rsidR="008A510B" w:rsidTr="0012108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Цифровизация мировых судов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 и функционирование необходимой информационно-технологической и телекоммуникационной инфраструктуры на судебных участках мировых судей для организации защищенного межведомственного электронного взаимодействия, приема исковых заявлений, направляемых в электронном виде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2021 год.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Федеральное финансирование (предоставление регионам субсидий); 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2022 год.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федеральное финансирование не предусмотрено; </w:t>
            </w:r>
          </w:p>
          <w:p w:rsidR="008A510B" w:rsidRDefault="008A510B" w:rsidP="008A510B">
            <w:pPr>
              <w:widowControl/>
              <w:jc w:val="both"/>
              <w:rPr>
                <w:strike/>
                <w:sz w:val="18"/>
              </w:rPr>
            </w:pPr>
            <w:r>
              <w:rPr>
                <w:sz w:val="18"/>
              </w:rPr>
              <w:t xml:space="preserve">2023 - 2024 годы.   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Проект реализуется за счёт средств регионального бюджета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Реализация проекта обеспечивает достижение следующих эффектов:</w:t>
            </w:r>
          </w:p>
          <w:p w:rsidR="008A510B" w:rsidRDefault="008A510B" w:rsidP="008A510B">
            <w:pPr>
              <w:widowControl/>
              <w:numPr>
                <w:ilvl w:val="0"/>
                <w:numId w:val="3"/>
              </w:numPr>
              <w:tabs>
                <w:tab w:val="left" w:pos="344"/>
              </w:tabs>
              <w:ind w:left="36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обеспечение на судебных участках мировых судей защищенного подключения к сети Государственной автоматизированной системы Российской Федерации «Правосудие» (далее - ГАС «Правосудие») </w:t>
            </w:r>
            <w:r>
              <w:rPr>
                <w:sz w:val="18"/>
                <w:highlight w:val="white"/>
              </w:rPr>
              <w:t>(к концу 2021 года)</w:t>
            </w:r>
            <w:r>
              <w:rPr>
                <w:sz w:val="18"/>
              </w:rPr>
              <w:t>;</w:t>
            </w:r>
          </w:p>
          <w:p w:rsidR="008A510B" w:rsidRPr="008010F1" w:rsidRDefault="008A510B" w:rsidP="008A510B">
            <w:pPr>
              <w:widowControl/>
              <w:numPr>
                <w:ilvl w:val="0"/>
                <w:numId w:val="3"/>
              </w:numPr>
              <w:tabs>
                <w:tab w:val="left" w:pos="344"/>
              </w:tabs>
              <w:ind w:left="36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организация защищенного межведомственного электронного взаимодействия </w:t>
            </w:r>
            <w:r>
              <w:rPr>
                <w:sz w:val="18"/>
                <w:highlight w:val="white"/>
              </w:rPr>
              <w:t>(к концу 2021 года)</w:t>
            </w:r>
            <w:r>
              <w:rPr>
                <w:sz w:val="18"/>
              </w:rPr>
              <w:t>. Формирование и обеспечение функционирования необходимой информационно-технологической и телекоммуникационной инфраструктуры на судебных участках мировых судей для организации защищенного межведомственного электронного взаимодействия, приема исковых заявлений, направляемых в электронном виде (2022 - 2024 годы)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245"/>
              </w:tabs>
              <w:ind w:left="-39"/>
              <w:jc w:val="both"/>
              <w:rPr>
                <w:sz w:val="18"/>
              </w:rPr>
            </w:pPr>
            <w:r>
              <w:rPr>
                <w:sz w:val="18"/>
              </w:rPr>
              <w:t>Не предусмотрено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Регион - исполнитель проекта</w:t>
            </w:r>
          </w:p>
        </w:tc>
      </w:tr>
      <w:tr w:rsidR="008A510B" w:rsidTr="008A510B">
        <w:trPr>
          <w:trHeight w:val="1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Электронный документооборот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Повышение эффективности функционирования, снижение трудовых, временных и материальных затрат органов государственной власти, органов местного самоуправления, бюджетных подведомственных учреждений, связанных с организацией делопроизводства и документооборота, за счет создания, развития и обеспечения функционирования государственного облачного сервиса, предоставляющего минимальный и достаточный функционал документооборота для государственных и муниципальных организаций, не имеющих собственных систем документооборота, не подключенных и не имеющих планов по подключению к системам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До 2024 года.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Федеральное финансирование (предоставление регионам субсидий)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Повышение качества оказания государственных и муниципальных услуг за счет сокращения сроков обработки исходящей и входящей корреспонденции (в т.ч. обращения граждан и организаций), кратного снижения трудовых и логистических затрат на организацию внутреннего и внешнего делопроизводства и документооборота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245"/>
              </w:tabs>
              <w:ind w:left="-39"/>
              <w:jc w:val="both"/>
              <w:rPr>
                <w:sz w:val="18"/>
              </w:rPr>
            </w:pPr>
            <w:r>
              <w:rPr>
                <w:sz w:val="18"/>
              </w:rPr>
              <w:t>Не предусмотрено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Проект реализуется на региональном уровне</w:t>
            </w:r>
          </w:p>
        </w:tc>
      </w:tr>
      <w:tr w:rsidR="008A510B" w:rsidTr="0012108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документооборота исполнительных органов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245"/>
              </w:tabs>
              <w:ind w:left="-39"/>
              <w:jc w:val="both"/>
              <w:rPr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Платформа обратной связи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Повышение качества взаимодействия граждан и организаций с исполнительными органами (далее РОИВ), органами местного самоуправления, государственными и муниципальными учреждениями, иными организациями, осуществляющими публично значимые функции, и их должностными лицами путем внедрения единой сквозной технологии регистрации и обработки сообщений и обращений в ПОС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Постоянно.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Внедрение пилотного решения (бесплатно для региона)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В целях создания и дальнейшего функционирования ПОС до 30 декабря 2021 года на территории всех субъектов Российской Федерации проводился эксперимент по использованию ФГИС «ЕПГУ (функций)» для направления гражданами и юридическими лицами в государственные органы, органы местного самоуправления, государственные и 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245"/>
              </w:tabs>
              <w:ind w:left="-39"/>
              <w:jc w:val="both"/>
              <w:rPr>
                <w:sz w:val="18"/>
              </w:rPr>
            </w:pPr>
            <w:r>
              <w:rPr>
                <w:sz w:val="18"/>
              </w:rPr>
              <w:t>Не предусмотрено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На основе заключенных соглашений между Курской областью и Минцифры России осуществляется внедрение ПОС в РОИВ, ОМСУ и организациях на территории региона</w:t>
            </w:r>
          </w:p>
        </w:tc>
      </w:tr>
      <w:tr w:rsidR="008A510B" w:rsidTr="00743E9C">
        <w:tc>
          <w:tcPr>
            <w:tcW w:w="161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705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6. Социальная сфера</w:t>
            </w: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ind w:left="-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:rsidR="008A510B" w:rsidRDefault="008A510B" w:rsidP="008A510B">
            <w:pPr>
              <w:widowControl/>
              <w:ind w:left="-8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Наименование проекта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Цель проекта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Срок реализации проекта / Финансирование проекта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Краткое описание проекта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tabs>
                <w:tab w:val="left" w:pos="245"/>
              </w:tabs>
              <w:ind w:left="-3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Используемые СЦТ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Роль региона в реализации проекта</w:t>
            </w: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Перевод мер социальной поддержки в формат «Социального казначейства» (рекомендовано ФОИВ)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Переход на предоставление мер социальной поддержки на основании только заявления с выводом на ЕПГУ/РПГУ или проактивно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До 2024 года.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Межбюджетные трансферты из федерального бюджета не предусмотрены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numPr>
                <w:ilvl w:val="0"/>
                <w:numId w:val="4"/>
              </w:numPr>
              <w:tabs>
                <w:tab w:val="left" w:pos="202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Реализация механизма проактивных выплат с согласия гражданина и наличия реквизитов счета.</w:t>
            </w:r>
          </w:p>
          <w:p w:rsidR="008A510B" w:rsidRDefault="008A510B" w:rsidP="008A510B">
            <w:pPr>
              <w:widowControl/>
              <w:numPr>
                <w:ilvl w:val="0"/>
                <w:numId w:val="4"/>
              </w:numPr>
              <w:tabs>
                <w:tab w:val="left" w:pos="202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Законные представители получают меры социальной поддержки в электронном виде.</w:t>
            </w:r>
          </w:p>
          <w:p w:rsidR="008A510B" w:rsidRDefault="008A510B" w:rsidP="008A510B">
            <w:pPr>
              <w:widowControl/>
              <w:numPr>
                <w:ilvl w:val="0"/>
                <w:numId w:val="4"/>
              </w:numPr>
              <w:tabs>
                <w:tab w:val="left" w:pos="202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Вывод на ЕПГУ заявлений на получение региональных и муниципальных мер социальной поддержки.</w:t>
            </w:r>
          </w:p>
          <w:p w:rsidR="008A510B" w:rsidRPr="008A510B" w:rsidRDefault="008A510B" w:rsidP="008A510B">
            <w:pPr>
              <w:widowControl/>
              <w:numPr>
                <w:ilvl w:val="0"/>
                <w:numId w:val="4"/>
              </w:numPr>
              <w:tabs>
                <w:tab w:val="left" w:pos="202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Уведомление граждан о мерах социальной поддержки и беззаявительное назначение отдельных МСП при выявлении новых жизненных событий: рождение ребенка, установление инвалидности, достижение пенсионного возраста, достижение ребенком определенного возраста, беременность, присвоение звания ветерана и приравненных к нему званий, получение статуса лица,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245"/>
              </w:tabs>
              <w:ind w:left="-39"/>
              <w:jc w:val="both"/>
              <w:rPr>
                <w:sz w:val="18"/>
              </w:rPr>
            </w:pPr>
            <w:r>
              <w:rPr>
                <w:sz w:val="18"/>
              </w:rPr>
              <w:t>Не предусмотрено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С 2023-2024 года:</w:t>
            </w:r>
          </w:p>
          <w:p w:rsidR="008A510B" w:rsidRPr="008A510B" w:rsidRDefault="008A510B" w:rsidP="008A510B">
            <w:pPr>
              <w:widowControl/>
              <w:numPr>
                <w:ilvl w:val="0"/>
                <w:numId w:val="5"/>
              </w:numPr>
              <w:tabs>
                <w:tab w:val="left" w:pos="211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обеспечение привязки региональных и муниципальных мер социальной поддержки в ЕГИССО к жизненным событиям для обеспечения проактивного информирования граждан о положенных им мерах (в том числе по жизненным событиям: рождение ребенка, установление инвалидности, достижение пенсионного возраста, достижение ребенком определенного возраста, беременность, </w:t>
            </w: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202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подвергшегося воздействию радиации, получение статуса многодетной семьи, создание молодой семьи, установление опеки и потеря кормильца.</w:t>
            </w:r>
          </w:p>
          <w:p w:rsidR="008A510B" w:rsidRDefault="008A510B" w:rsidP="008A510B">
            <w:pPr>
              <w:widowControl/>
              <w:numPr>
                <w:ilvl w:val="0"/>
                <w:numId w:val="4"/>
              </w:numPr>
              <w:tabs>
                <w:tab w:val="left" w:pos="202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Все меры соцподдержки, в том числе регионального и муниципального уровня, доступны на ЕПГУ/РПГУ.</w:t>
            </w:r>
          </w:p>
          <w:p w:rsidR="008A510B" w:rsidRPr="008A510B" w:rsidRDefault="008A510B" w:rsidP="008A510B">
            <w:pPr>
              <w:widowControl/>
              <w:numPr>
                <w:ilvl w:val="0"/>
                <w:numId w:val="4"/>
              </w:numPr>
              <w:tabs>
                <w:tab w:val="left" w:pos="202"/>
              </w:tabs>
              <w:ind w:left="0" w:firstLine="0"/>
              <w:contextualSpacing/>
              <w:jc w:val="both"/>
              <w:rPr>
                <w:sz w:val="18"/>
              </w:rPr>
            </w:pPr>
            <w:r w:rsidRPr="008A510B">
              <w:rPr>
                <w:sz w:val="18"/>
              </w:rPr>
              <w:t>Исключен сбор с граждан документов при предоставлении мер соцподдержки регионального и муниципального уровня.</w:t>
            </w:r>
          </w:p>
          <w:p w:rsidR="008A510B" w:rsidRDefault="008A510B" w:rsidP="008A510B">
            <w:pPr>
              <w:widowControl/>
              <w:numPr>
                <w:ilvl w:val="0"/>
                <w:numId w:val="4"/>
              </w:numPr>
              <w:tabs>
                <w:tab w:val="left" w:pos="202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Сокращен срок предоставления мер соцподдержки не более пяти рабочих дней.</w:t>
            </w:r>
          </w:p>
          <w:p w:rsidR="008A510B" w:rsidRPr="008010F1" w:rsidRDefault="008A510B" w:rsidP="008A510B">
            <w:pPr>
              <w:widowControl/>
              <w:numPr>
                <w:ilvl w:val="0"/>
                <w:numId w:val="4"/>
              </w:numPr>
              <w:tabs>
                <w:tab w:val="left" w:pos="202"/>
              </w:tabs>
              <w:ind w:left="0" w:firstLine="0"/>
              <w:contextualSpacing/>
              <w:jc w:val="both"/>
              <w:rPr>
                <w:sz w:val="18"/>
              </w:rPr>
            </w:pPr>
            <w:r w:rsidRPr="008010F1">
              <w:rPr>
                <w:sz w:val="18"/>
              </w:rPr>
              <w:t>Повышение качества принимаемых решений в сфере социального обеспечения, сокращение ошибок из-за человеческого фактора, исключение коррупционной составляющей при принятии решений за счет расширенного применения автоматических алгоритмов принятия решений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tabs>
                <w:tab w:val="left" w:pos="211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присвоение звания ветерана и приравненных к нему званий, получение статуса лица, подвергшегося воздействию радиации, получение статуса многодетной семьи, создание молодой семьи, установление опеки и потеря кормильца и др.);</w:t>
            </w:r>
          </w:p>
          <w:p w:rsidR="008A510B" w:rsidRPr="008A510B" w:rsidRDefault="008A510B" w:rsidP="008A510B">
            <w:pPr>
              <w:pStyle w:val="afc"/>
              <w:numPr>
                <w:ilvl w:val="0"/>
                <w:numId w:val="5"/>
              </w:numPr>
              <w:tabs>
                <w:tab w:val="left" w:pos="211"/>
              </w:tabs>
              <w:ind w:left="0" w:firstLine="0"/>
              <w:jc w:val="both"/>
              <w:rPr>
                <w:sz w:val="18"/>
              </w:rPr>
            </w:pPr>
            <w:r w:rsidRPr="008A510B">
              <w:rPr>
                <w:sz w:val="18"/>
              </w:rPr>
              <w:t>вывод на ЕПГУ и РПГУ (при необходимости) поддержки регионального и муниципального уровня;</w:t>
            </w:r>
          </w:p>
          <w:p w:rsidR="008A510B" w:rsidRDefault="008A510B" w:rsidP="008A510B">
            <w:pPr>
              <w:widowControl/>
              <w:numPr>
                <w:ilvl w:val="0"/>
                <w:numId w:val="5"/>
              </w:numPr>
              <w:tabs>
                <w:tab w:val="left" w:pos="211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исключение сбора с граждан документов при предоставлении мер социальной поддержки регионального и муниципального уровня;</w:t>
            </w:r>
          </w:p>
          <w:p w:rsidR="008A510B" w:rsidRDefault="008A510B" w:rsidP="008A510B">
            <w:pPr>
              <w:widowControl/>
              <w:jc w:val="both"/>
              <w:rPr>
                <w:b/>
                <w:sz w:val="18"/>
              </w:rPr>
            </w:pPr>
            <w:r>
              <w:rPr>
                <w:sz w:val="18"/>
              </w:rPr>
              <w:t>сокращение сроков предоставления региональных и муниципальных мер социальной поддержки до уровня не более пяти рабочих дней</w:t>
            </w: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СЗН 2.0 (Модернизации государственной службы занятости населения) (рекомендовано ФОИВ)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Предоставление государственных услуг и исполнение государственных функций в области содействия занятости населения в электронном виде посредством Единой цифровой платформы в сфере занятости и трудовых отношений «Работа в России», в том числе с использованием ЕПГУ (функций)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До 2024 года.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Межбюджетные трансферты из федерального бюджета не предусмотрены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344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Обеспечение предоставления государственных услуг в области содействия занятости населения в электронном виде, минимизировав необходимость очного посещения центров занятости населения.</w:t>
            </w:r>
          </w:p>
          <w:p w:rsidR="008A510B" w:rsidRDefault="008A510B" w:rsidP="008A510B">
            <w:pPr>
              <w:widowControl/>
              <w:tabs>
                <w:tab w:val="left" w:pos="344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Формирование единой технологии работы и управления качеством предоставления услуг в области содействия занятости на всей территории страны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206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Системы поддержки принятия решений, рекомендательные системы.</w:t>
            </w:r>
          </w:p>
          <w:p w:rsidR="008A510B" w:rsidRDefault="008A510B" w:rsidP="008A510B">
            <w:pPr>
              <w:widowControl/>
              <w:tabs>
                <w:tab w:val="left" w:pos="206"/>
              </w:tabs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Обработка естественного языка, анализ текстов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2022 год - обеспечение предоставления гражданам государственной услуги по содействию гражданам в поиске подходящей работы, а работодателям в подборе необходимых работников, осуществляется с использованием Единой цифровой платформы в сфере занятости и трудовых отношений «Работа в России».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 xml:space="preserve">2023 год - обеспечение предоставления гражданам остальных государственных услуг в области содействия занятости населения </w:t>
            </w:r>
          </w:p>
        </w:tc>
      </w:tr>
      <w:tr w:rsidR="008A510B" w:rsidTr="0012108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10B" w:rsidRDefault="008A510B" w:rsidP="008A510B">
            <w:pPr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344"/>
              </w:tabs>
              <w:contextualSpacing/>
              <w:jc w:val="both"/>
              <w:rPr>
                <w:sz w:val="18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245"/>
              </w:tabs>
              <w:ind w:left="-39"/>
              <w:jc w:val="both"/>
              <w:rPr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осуществляется с использованием функционала Единой цифровой платформы в сфере занятости и трудовых отношений «Работа в России»</w:t>
            </w:r>
          </w:p>
        </w:tc>
      </w:tr>
      <w:tr w:rsidR="008A510B" w:rsidTr="00743E9C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Развитие информационной системы «Единый контакт ̶центр взаимодействия с гражданами» (рекомендовано ФОИВ)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Обеспечение в режиме реального времени дистанционного получения гражданами Российской Федерации, иностранными гражданами и лицами без гражданства, постоянно проживающими на территории Российской Федерации, беженцами информации по вопросам функционирования Фонда пенсионного и социального страхования Российской Федерации, Федеральной службы по труду и занятости и их территориальных органов, органов государственной власти субъектов Российской Федерации, уполномоченных на назначение и предоставление мер социальной защиты (поддержки), а также федеральных учреждений медико-социальной экспертизы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гарантий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К 2023 году.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Межбюджетные трансферты из федерального бюджета не предусмотрены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Pr="008A510B" w:rsidRDefault="008A510B" w:rsidP="008A510B">
            <w:pPr>
              <w:widowControl/>
              <w:numPr>
                <w:ilvl w:val="0"/>
                <w:numId w:val="6"/>
              </w:numPr>
              <w:tabs>
                <w:tab w:val="left" w:pos="344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Применение в режиме реального времени на основе экстерриториальности информирования граждан по вопросам предоставления мер социальной защиты посредством единого телефонного номера и </w:t>
            </w:r>
            <w:r w:rsidRPr="008A510B">
              <w:rPr>
                <w:sz w:val="18"/>
              </w:rPr>
              <w:t>текстовых каналов (онлайн-чата) на безвозмездной основе.</w:t>
            </w:r>
          </w:p>
          <w:p w:rsidR="008A510B" w:rsidRDefault="008A510B" w:rsidP="008A510B">
            <w:pPr>
              <w:widowControl/>
              <w:numPr>
                <w:ilvl w:val="0"/>
                <w:numId w:val="6"/>
              </w:numPr>
              <w:tabs>
                <w:tab w:val="left" w:pos="344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Подключение субъектов Российской Федерации к ЕКЦ.</w:t>
            </w:r>
          </w:p>
          <w:p w:rsidR="008A510B" w:rsidRDefault="008A510B" w:rsidP="008A510B">
            <w:pPr>
              <w:widowControl/>
              <w:numPr>
                <w:ilvl w:val="0"/>
                <w:numId w:val="6"/>
              </w:numPr>
              <w:tabs>
                <w:tab w:val="left" w:pos="344"/>
              </w:tabs>
              <w:ind w:left="0" w:firstLine="0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Повышение эффективности расходов за счет автоматизированной обработки запросов, использования единого программного решения, вне зависимости от количества пользователей участников ЕКЦ.</w:t>
            </w:r>
          </w:p>
          <w:p w:rsidR="008A510B" w:rsidRPr="008A510B" w:rsidRDefault="008A510B" w:rsidP="008A510B">
            <w:pPr>
              <w:widowControl/>
              <w:tabs>
                <w:tab w:val="left" w:pos="344"/>
              </w:tabs>
              <w:contextualSpacing/>
              <w:jc w:val="both"/>
              <w:rPr>
                <w:sz w:val="18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tabs>
                <w:tab w:val="left" w:pos="245"/>
              </w:tabs>
              <w:ind w:left="-39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и синтез речи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2022 год - переход на использование информационной системы «Единый контакт-центр взаимодействия с гражданами» для осуществления предоставления информации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выплат.</w:t>
            </w:r>
          </w:p>
          <w:p w:rsidR="008A510B" w:rsidRDefault="008A510B" w:rsidP="008A510B">
            <w:pPr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С 2023 года - осуществление консультирования посредством ИС ЕКЦ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выплат</w:t>
            </w:r>
          </w:p>
        </w:tc>
      </w:tr>
    </w:tbl>
    <w:p w:rsidR="00B231AF" w:rsidRDefault="00B231AF">
      <w:pPr>
        <w:widowControl/>
        <w:jc w:val="center"/>
        <w:rPr>
          <w:b/>
          <w:sz w:val="28"/>
        </w:rPr>
      </w:pPr>
    </w:p>
    <w:p w:rsidR="00B231AF" w:rsidRDefault="005C1538">
      <w:pPr>
        <w:widowControl/>
        <w:ind w:right="-881"/>
        <w:jc w:val="right"/>
        <w:rPr>
          <w:sz w:val="28"/>
        </w:rPr>
      </w:pPr>
      <w:r>
        <w:rPr>
          <w:sz w:val="28"/>
        </w:rPr>
        <w:t>».</w:t>
      </w:r>
    </w:p>
    <w:p w:rsidR="005C1538" w:rsidRDefault="005C1538" w:rsidP="005C1538">
      <w:pPr>
        <w:rPr>
          <w:sz w:val="28"/>
        </w:rPr>
      </w:pPr>
    </w:p>
    <w:p w:rsidR="005C1538" w:rsidRDefault="005C1538" w:rsidP="005C1538">
      <w:pPr>
        <w:rPr>
          <w:sz w:val="28"/>
        </w:rPr>
      </w:pPr>
    </w:p>
    <w:p w:rsidR="00B231AF" w:rsidRDefault="00B231AF">
      <w:pPr>
        <w:ind w:firstLine="709"/>
        <w:rPr>
          <w:sz w:val="28"/>
        </w:rPr>
      </w:pPr>
    </w:p>
    <w:p w:rsidR="00B231AF" w:rsidRDefault="005C1538">
      <w:pPr>
        <w:ind w:firstLine="709"/>
      </w:pPr>
      <w:r>
        <w:rPr>
          <w:sz w:val="28"/>
        </w:rPr>
        <w:t>5.      Раздел 7 «Показатели развития отрасли» изложить в следующей редакции:</w:t>
      </w:r>
    </w:p>
    <w:p w:rsidR="00B231AF" w:rsidRDefault="005C1538">
      <w:pPr>
        <w:widowControl/>
        <w:ind w:left="-1418"/>
        <w:rPr>
          <w:b/>
          <w:sz w:val="28"/>
        </w:rPr>
      </w:pPr>
      <w:r>
        <w:rPr>
          <w:b/>
          <w:sz w:val="28"/>
        </w:rPr>
        <w:t>«</w:t>
      </w:r>
    </w:p>
    <w:p w:rsidR="00B231AF" w:rsidRDefault="005C1538">
      <w:pPr>
        <w:widowControl/>
        <w:jc w:val="center"/>
        <w:rPr>
          <w:b/>
          <w:sz w:val="28"/>
        </w:rPr>
      </w:pPr>
      <w:r>
        <w:rPr>
          <w:b/>
          <w:sz w:val="28"/>
        </w:rPr>
        <w:t>Раздел 7. «Показатели развития отрасли»</w:t>
      </w:r>
    </w:p>
    <w:p w:rsidR="00B231AF" w:rsidRDefault="00B231AF">
      <w:pPr>
        <w:widowControl/>
        <w:ind w:firstLine="720"/>
        <w:jc w:val="center"/>
        <w:rPr>
          <w:b/>
          <w:sz w:val="28"/>
        </w:rPr>
      </w:pPr>
    </w:p>
    <w:tbl>
      <w:tblPr>
        <w:tblW w:w="16161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1"/>
        <w:gridCol w:w="2842"/>
        <w:gridCol w:w="2581"/>
        <w:gridCol w:w="6774"/>
        <w:gridCol w:w="1179"/>
        <w:gridCol w:w="834"/>
        <w:gridCol w:w="710"/>
        <w:gridCol w:w="680"/>
      </w:tblGrid>
      <w:tr w:rsidR="00B231AF" w:rsidTr="000D74E0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Образование и наука</w:t>
            </w:r>
          </w:p>
        </w:tc>
      </w:tr>
      <w:tr w:rsidR="00B231AF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B231AF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B231AF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231AF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Цифровой помощник ученика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Доли используемых проактивных сервисов подборки цифрового образовательного контента, позволяющих обучающимся, родителям (законным представителям) и педагогическим работникам эффективно планировать индивидуальный план (программу) обучения, а также обеспечить высокое качество реализации общеобразовательных программ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B231AF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Цифровой помощник учителя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 которым обеспечена возможность автоматизированного планирования образовательных программ, а также возможность осуществлять проверку домашних заданий с использованием экспертных систем искусственного интеллекта, что снизит уровень перегрузки рутинными процедурами, создаст возможности повышения квалификации и уровня профессиональной компетентности педагогических работников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231AF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Библиотека цифрового образовательного контента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обучающихся, родителей (законных представителей) и педагогических работников, которым обеспечен равный доступ на безвозмездной основе к верифицированному цифровому образовательному контенту, создающему для всех участников образовательных отношений, в том числе для лиц с ограниченными возможностями здоровья, равные образовательные возможности, нацеленному на реализацию образовательных программ, построение индивидуальных образовательных траекторий, а также на повышение профессиональной компетентности педагогических работников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B231AF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Цифровой помощник родителя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 w:rsidP="00743E9C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обучающихся и их родителей (законных представителей), которым создана возможность формирования эффективной системы выявления, развития и поддержки талантов у детей при помощи комплексного проактивного сервиса, среди прочего обеспечивающего автоматизированный подбор и поступление в общеобразов</w:t>
            </w:r>
            <w:r w:rsidR="00743E9C">
              <w:rPr>
                <w:sz w:val="20"/>
              </w:rPr>
              <w:t>ательные организации, запись на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43E9C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43E9C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участие в олимпиадах, конкурсах, соревнованиях и (или) государственных итоговых аттестациях, получение документов об образовании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E9C" w:rsidRDefault="00743E9C" w:rsidP="00743E9C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B231AF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Цифровое портфолио ученика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обучающихся, родителей (законных представителей) и педагогических работников, которым обеспечена возможность эффективно планировать траекторию личностного роста обучающегося, что будет способствовать повышению качества профессиональной ориентации обучающихся всех уровней общего образования, а также среднего профессионального образования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B231AF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Система управления в образовательной организации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образовательных организаций, введение электронного документооборота в которых позволит снизить уровень бюрократизации образовательной деятельности, даст возможность принимать управленческие решения на основе анализа больших данных с помощью интеллектуальных алгоритмов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231AF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современной инфраструктуры образовательных организаций - Цифровая образовательная среда (ЦОС)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Курской области</w:t>
            </w:r>
          </w:p>
        </w:tc>
        <w:tc>
          <w:tcPr>
            <w:tcW w:w="6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231AF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6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B231AF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6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231AF" w:rsidTr="000D74E0">
        <w:trPr>
          <w:trHeight w:val="63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Навигатор дополнительного образования детей Курской области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Создана и успешно функционирует информационная система «Навигатор дополнительного образования детей Курской области»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усл. ед.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231AF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Региональная информационная система в сфере образования (РИССО)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Региональная информационная система в сфере образования (РИССО) успешно интегрирована с федеральными проектами в сфере цифровизации, реализуемыми на территории Курской области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усл. ед.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231AF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Поступление в вуз онлайн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Обеспечение возможности подачи заявления на прием в вузы через Единый портал государственных и муниципальных услуг</w:t>
            </w:r>
          </w:p>
          <w:p w:rsidR="00B231AF" w:rsidRDefault="00B231AF">
            <w:pPr>
              <w:jc w:val="both"/>
              <w:rPr>
                <w:sz w:val="20"/>
              </w:rPr>
            </w:pPr>
          </w:p>
          <w:p w:rsidR="00B231AF" w:rsidRDefault="00B231AF">
            <w:pPr>
              <w:jc w:val="both"/>
              <w:rPr>
                <w:sz w:val="20"/>
              </w:rPr>
            </w:pPr>
          </w:p>
          <w:p w:rsidR="00743E9C" w:rsidRDefault="00743E9C">
            <w:pPr>
              <w:jc w:val="bot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усл. ед.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231AF" w:rsidTr="000D74E0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2. Здравоохранение</w:t>
            </w:r>
          </w:p>
        </w:tc>
      </w:tr>
      <w:tr w:rsidR="00B231AF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B231AF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B231AF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231AF" w:rsidTr="000D74E0">
        <w:trPr>
          <w:trHeight w:val="89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медицинских платформенных решений федерального уровня (ВИМИС)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здравоохранения Курской области</w:t>
            </w:r>
          </w:p>
          <w:p w:rsidR="00B231AF" w:rsidRDefault="00B231AF">
            <w:pPr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7872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 (рекомендовано ФОИВ)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здравоохранения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записей на прием к врачу, совершенных гражданами дистанционно, в том числе на региональных порталах государственных услуг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6B7872" w:rsidTr="000D74E0"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25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7872" w:rsidTr="000D74E0"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25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7872" w:rsidTr="000D74E0"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25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тыс. чел.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207,65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268,39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ind w:left="-109" w:right="-80"/>
              <w:jc w:val="center"/>
              <w:rPr>
                <w:sz w:val="20"/>
              </w:rPr>
            </w:pPr>
            <w:r>
              <w:rPr>
                <w:sz w:val="20"/>
              </w:rPr>
              <w:t>308,65</w:t>
            </w:r>
          </w:p>
        </w:tc>
      </w:tr>
      <w:tr w:rsidR="006B7872" w:rsidTr="000D74E0"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25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8E04CE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станций (отделений) скорой медицинской помощи, подключенных к единой системе диспетчеризации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7872" w:rsidTr="000D74E0"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25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6B7872" w:rsidTr="000D74E0"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8E04C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8E04CE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2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8E04CE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8E04CE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клинико-диагностических лабораторий медицинских организаций и клинико- диагностических лабораторий государственной и муниципальной систем здравоохранения, обеспечивающих передачу СЭМД «Протокол лабораторного исследования»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8E04CE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8E04CE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8E04CE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8E04CE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7872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B7872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медицинских организаций, осуществляющих централизованную обработку и хранение в электронном виде результатов диагностических исследований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7872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граждан, которым доступны врачебные назначения (рецепты) в форме электронного документа, в том числе на ЕПГУ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6B7872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Доля случаев оказания медицинской помощи, по которым предоставлены электронные медицинские документы в подсистемы единой государственной информационной системы в сфере здравоохранения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7872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Эффективное управление здравоохранении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здравоохранения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медицинских организаций, подключенных к региональному ситуационному центру по здравоохранению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7872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Внедрение технологий искусственного интеллекта в отрасли здравоохранения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здравоохранения Курской области</w:t>
            </w:r>
          </w:p>
        </w:tc>
        <w:tc>
          <w:tcPr>
            <w:tcW w:w="6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9059D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7872" w:rsidTr="000D74E0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3. Развитие городской среды</w:t>
            </w:r>
          </w:p>
        </w:tc>
      </w:tr>
      <w:tr w:rsidR="006B7872" w:rsidTr="000D74E0">
        <w:trPr>
          <w:trHeight w:val="155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6B7872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6B7872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B7872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Развитие клиентоцентричной системы управления ЖКХ на базе ГИС ЖКХ (рекомендовано ФОИВ)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Министерство жилищно-коммунального </w:t>
            </w:r>
            <w:r w:rsidR="009059D0">
              <w:rPr>
                <w:sz w:val="20"/>
              </w:rPr>
              <w:t>хозяйства и ТЭК Курской области</w:t>
            </w:r>
            <w:r>
              <w:rPr>
                <w:sz w:val="20"/>
              </w:rPr>
              <w:t xml:space="preserve">/ Государственная жилищная инспекция </w:t>
            </w:r>
            <w:r w:rsidR="009059D0">
              <w:rPr>
                <w:sz w:val="20"/>
              </w:rPr>
              <w:t xml:space="preserve">Курской области/ </w:t>
            </w:r>
            <w:r>
              <w:rPr>
                <w:sz w:val="20"/>
              </w:rPr>
              <w:t>Министерство строительства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жителей городов в возрасте старше 14 лет, зарегистрированных на специализированных информационных ресурсах по вопросам городского развития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6B7872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6B7872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7872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коммунальных услуг, оплаченных онлайн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872" w:rsidRDefault="006B7872" w:rsidP="006B7872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D74E0" w:rsidTr="0012108C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Развитие Цифровой экосистемы формирования комфортной городской среды-быстрый качественный ритм для жизни здесь и сейчас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жилищно-коммунального хозяйства и ТЭК Курской области/ Государственная жилищная инспекция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диспетчерских служб муниципальных районов и городских округов, подключенных к системам мониторинга инцидентов и аварий на объектах жилищно-коммунального хозяйства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74E0" w:rsidTr="0012108C"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Среднее значение индекса эффективности цифровой трансформации городского хозяйства в субъектах Российской Федерации («IQ городов»)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балл.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0D74E0" w:rsidTr="0012108C">
        <w:trPr>
          <w:trHeight w:val="466"/>
        </w:trPr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ресурсоснабжающих организаций, раскрывающих информацию в полном объеме в ГИС ЖКХ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D74E0" w:rsidTr="0012108C"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управляющих организаций, раскрывающих информацию в полном объеме в ГИС ЖКХ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0D74E0" w:rsidTr="000D74E0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4.Транспорт и логистика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Проект «Зеленый цифровой коридор пассажира» (рекомендовано ФОИВ)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транспорта и автомобильных дорог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автобусов, осуществляющих регулярные перевозки пассажиров в городском, пригородном и междугородном (в пределах субъекта Российской Федерации) сообщении, оснащенных системами безналичной оплаты проезда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Сокращение времени ожидания городского общественного транспорта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Увеличение средней скорости перемещения пассажиров в городском общественном транспорте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пассажиров, использующих безналичную оплату проезда на общественном транспорте в крупнейших агломерациях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пассажиров пригородных, междугородних и международных автомобильных, железнодорожных и воздушных перевозок, идентифицируемых посредством применения биометрических технологий</w:t>
            </w:r>
          </w:p>
          <w:p w:rsidR="006D12C7" w:rsidRDefault="006D12C7" w:rsidP="000D74E0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6D12C7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6D12C7" w:rsidTr="0012108C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автобусов, осуществляющих регулярные перевозки пассажиров в городском, пригородном и междугородном сообщении, для которых обеспечена в открытом доступе информация об их реальном движении по маршруту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D12C7" w:rsidTr="0012108C"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автобусов, осуществляющих регулярные перевозки пассажиров в городском, пригородном и междугородном (в пределах субъекта Российской Федерации) сообщении, оснащенных системами видеонаблюдения салонов (с функцией записи), соответствующих требованиям о защите персональных данных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Проект «Цифровое управление транспортным комплексом Российской Федерации»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транспорта и автомобильных дорог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региональных транспортных информационных систем, осуществляющих информационное взаимодействие с ситуационно-информационным центром Минтранса России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Проект «Цифровые двойники объектов транспортной инфраструктуры» (рекомендовано ФОИВ)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транспорта и автомобильных дорог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Протяженность дорог, состояние которых оценено с помощью мобильных измерительных лабораторий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объектов транспортной инфраструктуры,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объектов капитального строительства, требующих получения разрешения на строительство, организация строительства которых осуществлена с использованием технологий информационного моделирования и поставленных на кадастровый учет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Проект «Цифровизация для транспортной безопасности»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транспорта и автомобильных дорог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Сокращение количества актов незаконного вмешательства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Диагностика дорожного полотна специализированными лабораторными комплексами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транспорта и автомобильных дорог Курской области</w:t>
            </w:r>
          </w:p>
          <w:p w:rsidR="006D12C7" w:rsidRDefault="006D12C7" w:rsidP="000D74E0">
            <w:pPr>
              <w:widowControl/>
              <w:jc w:val="both"/>
              <w:rPr>
                <w:sz w:val="20"/>
              </w:rPr>
            </w:pPr>
          </w:p>
          <w:p w:rsidR="006D12C7" w:rsidRDefault="006D12C7" w:rsidP="000D74E0">
            <w:pPr>
              <w:widowControl/>
              <w:jc w:val="both"/>
              <w:rPr>
                <w:sz w:val="20"/>
              </w:rPr>
            </w:pPr>
          </w:p>
          <w:p w:rsidR="006D12C7" w:rsidRDefault="006D12C7" w:rsidP="000D74E0">
            <w:pPr>
              <w:widowControl/>
              <w:jc w:val="both"/>
              <w:rPr>
                <w:sz w:val="20"/>
              </w:rPr>
            </w:pPr>
          </w:p>
          <w:p w:rsidR="006D12C7" w:rsidRDefault="006D12C7" w:rsidP="000D74E0">
            <w:pPr>
              <w:widowControl/>
              <w:jc w:val="both"/>
              <w:rPr>
                <w:sz w:val="20"/>
              </w:rPr>
            </w:pPr>
          </w:p>
          <w:p w:rsidR="006D12C7" w:rsidRDefault="006D12C7" w:rsidP="000D74E0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мобильных комплексов для диагностики дорожного полотна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D74E0" w:rsidTr="000D74E0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5. Государственное управление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Государственная информационная система «Типовое облачное решение по автоматизации контрольной (надзорной) деятельности»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цифрового развития и связи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проверок в рамках контрольно-надзорной деятельности, проведенных дистанционно, в том числе с использованием чек-листов в электронном виде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единой системы предоставления государственных и муниципальных услуг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цифрового развития и связи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Количество государственных услуг, предоставляемых органами государственной власти в реестровой модели и (или) в проактивном режиме с предоставлением результата в электронном виде на Едином портале государственных и муниципальных услуг (функций)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0D74E0" w:rsidRDefault="000D74E0" w:rsidP="000D74E0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6D12C7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C7" w:rsidRDefault="006D12C7" w:rsidP="006D12C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2108C" w:rsidTr="0012108C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12108C" w:rsidTr="0012108C"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5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обращений за получением государственных и муниципальных услуг в электронном виде среди услуг, не требующих очного посещения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12108C" w:rsidTr="0012108C"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5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Доля зарегистрированных пользователей Единого портала государственных и муниципальных услуг (функций), использующих сервисы Единого портала государственных и муниципальных услуг (функций) в текущем году в целях получения государственных и муниципальных услуг в электронном виде, от общего числа зарегистрированных пользователей на Едином портале государственных и муниципальных услуг (функций)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12108C" w:rsidTr="0012108C"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видов сведений, представляемых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функций, в том числе коммерческим организациям, в соответствии с законодательством Российской Федерации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усл.ед.</w:t>
            </w:r>
          </w:p>
          <w:p w:rsidR="0012108C" w:rsidRDefault="0012108C" w:rsidP="0012108C">
            <w:pPr>
              <w:jc w:val="center"/>
              <w:rPr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цифровой платформы «Гостех»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цифрового развития и связи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Наличие в субъекте Российской Федерации утвержденной дорожной карты перевода ГИС на единую цифровую платформу «ГосТех»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 - «1»/</w:t>
            </w:r>
          </w:p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 - «0»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rPr>
                <w:sz w:val="20"/>
              </w:rPr>
            </w:pPr>
            <w:r>
              <w:rPr>
                <w:sz w:val="20"/>
              </w:rPr>
              <w:t>Обеспечение интеграции ведомственной информационной системы «Автоматизация осуществления регионального государственного строительного надзора Курской области» с государственной информационной системой «Типовой облачное решение по автоматизации контрольной (надзорной) деятельности»</w:t>
            </w:r>
          </w:p>
          <w:p w:rsidR="0012108C" w:rsidRDefault="0012108C" w:rsidP="000D74E0">
            <w:pPr>
              <w:rPr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Комитет государственного строительного надзора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соответствия ведомственной информационной системы по осуществлению регионального государственного строительного надзора общим требованиям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108C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Цифровизация мировых судов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Управление по обеспечению деятельности мировых судей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усл. ед.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Электронный документооборот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цифрового развития и связи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Курской области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Платформа обратной связи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цифрового развития и связи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Внедрение Платформы обратной связи в органах исполнительной власти и органах местного самоуправления Курской области, их подведомственных учреждениях на территории Курской области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74E0" w:rsidTr="000D74E0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6. Социальная сфера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12108C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Перевод мер социальной поддержки в формат «Социального казначейства» (рекомендовано ФОИВ)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Доля региональных и муниципальных мер социальной защиты (поддержки), по которым граждане имеют возможность подать заявление через Единый портал государственных услуг (функций) и (или) региональный портал государственных и муниципальных услуг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региональных и муниципальных мер социальной защиты (поддержки) в субъекте Российской Федерации, по которым нормативными правовыми актами субъекта Российской Федерации и муниципальными правовыми актами, регламентирующими их порядок предоставления, предусмотрен срок назначения 5 рабочих дней и менее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сведений, необходимых для назначения региональных и муниципальных мер социальной защиты  (поддержки), получаемых органом государственной власти субъекта Российской Федерации посредством единой системы межведомственного электронного взаимодействия</w:t>
            </w:r>
          </w:p>
          <w:p w:rsidR="0012108C" w:rsidRDefault="0012108C" w:rsidP="000D74E0">
            <w:pPr>
              <w:widowControl/>
              <w:jc w:val="both"/>
              <w:rPr>
                <w:sz w:val="20"/>
              </w:rPr>
            </w:pPr>
          </w:p>
          <w:p w:rsidR="0012108C" w:rsidRDefault="0012108C" w:rsidP="000D74E0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12108C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2108C" w:rsidTr="0012108C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Доля региональных и муниципальных мер социальной защиты (поддержки), отраженных в классификаторе мер социальной защиты (поддержки) с привязкой к соответствующим жизненным событиям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12108C" w:rsidTr="0012108C"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Доля мер социальной защиты (поддержки) регионального и муниципального уровня, которые граждане получили в проактивном формате по реквизитам счетов, направленных гражданами посредством Единого портала государственных и муниципальных услуг (функций) в Единую государственную информационную систему социального обеспечения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СЗН 2.0 (Модернизации государственной службы занятости населения)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по труду и занятости населения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государственных услуг в области содействия занятости населения, предоставляемых в субъекте Российской Федерации в электронном виде посредством единой цифровой платформы в сфере занятости и трудовых отношений «Работа в России»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информационной системы «Единый контакт ̶ центр взаимодействия с гражданами»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Качество обеспечения функционирования ИС ЕКЦ в органах государственной власти субъектов Российской Федерации, уполномоченных на назначение и предоставление мер социальной защиты (поддержки), обеспеченное: 1. подключением к ИС ЕКЦ; 2. наполнением экспертной системы ИС ЕКЦ актуальной информацией (по вопросам предоставления МСЗ(П) в субъекте Российской Федерации, достаточной для консультирования граждан); 3. средним временем дозвона до оператора второй линии ЕКЦ субъекта Российской Федерации, не превышающим нормативный показатель (55 секунд).</w:t>
            </w:r>
          </w:p>
          <w:p w:rsidR="0012108C" w:rsidRDefault="0012108C" w:rsidP="000D74E0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74E0" w:rsidTr="000D74E0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7. Промышленность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на платформе ГИСП цифровых паспортов промышленных предприятий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промышленности, торговли и предпринимательства Курской области</w:t>
            </w:r>
          </w:p>
          <w:p w:rsidR="0012108C" w:rsidRDefault="0012108C" w:rsidP="000D74E0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Достижение отраслью уровня «Цифровой зрелости» (в части доли крупных и средних промышленных предприятий региона, сформировавших цифровые паспорта)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12108C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Поддержка проектов по внедрению отечественных программно-аппаратных комплексов и программного обеспечения на предприятиях Курской области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поддержанных проектов по внедрению отечественных программно-аппаратных комплексов и программного обеспечения на предприятиях региона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D74E0" w:rsidTr="000D74E0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8. Физическая культура и спорт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АИС «Физкультура и спорт» и ее интеграция с создаваемой Министерством спорта Российской Федерации ГИС «Единая цифровая платформа «Физическая культура и спорт»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физической культуры и спорта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организаций, осуществляющих ведение цифровых профилей спортсменов с обеспечением фиксации и аналитики результатов тренировочной деятельности в электронных дневниках самоконтроля спортсменов и электронных журналах учета спортивной подготовки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физкультурных и спортивных мероприятий, включаемых в единый календарный план, календарный план субъектов Российской Федерации и календарный план муниципальных образований в цифровом безбумажном виде посредством Государственной информационной системы «Единая цифровая платформа «Физическая культура и спорт» (далее - ГИС ФКиС) и Автоматизированной информационной системы «Физическая культура и спорт» (далее – АИС ФКиС)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итоговых протоколов официальных спортивных соревнований и физкультурных мероприятий (в части ГТО), формируемых в электронном виде, результаты которых созданы в машиночитаемом виде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спортивных разрядов и званий (включая ГТО), присвоение которых осуществляется безбумажным способом, и учитываемых в ГИС ФКиС и АИС ФКиС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государственных и муниципальных объектов спорта, имеющих широкополосный доступ к информационно-телекоммуникационной сети «Интернет»</w:t>
            </w:r>
          </w:p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108C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2108C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физкультурно-спортивных организаций, обеспечивающих электронную запись на платные и бесплатные занятия физической культурой и спортом гражданам Российской Федерации посредством АИС ФКиС и (или) ЕПГУ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8C" w:rsidRDefault="0012108C" w:rsidP="0012108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Цифровая платформа «Спортивный Курск»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12108C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физической культуры и спорта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Число жителей Курской области установивших мобильное приложение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тыс. чел.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D74E0" w:rsidTr="000D74E0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9. Экономика и финансы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C77C59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Централизация бюджетного учета участников бюджетного процесса Курской области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финансов и бюджетного контроля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Количество участников бюджетного процесса, работающих по единой методологии в единой информационной системе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усл. ед.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проекта «Единая система сопровождения и поддержки региональных проектов»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экономического развития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Создана Единая система сопровождения и поддержки региональных инвестпроектов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усл. ед.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D74E0" w:rsidTr="000D74E0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 Строительство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0D74E0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применения Технологии информационного моделирования (ТИМ) на всех этапах жизненного цикла ОКС 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ind w:left="-8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строительства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услуг, связанных с реализацией мероприятий, осуществляемых при реализации проектов по строительству объектов капитального строительства, переведенных в электронный вид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Количество человек, прошедших обучение в сфере цифровых технологий в строительстве и ЖКХ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77C59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7C59" w:rsidTr="0071195C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и инфраструктуры (рекомендовано ФОИВ)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ind w:left="-80"/>
              <w:jc w:val="both"/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объектов,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C77C59" w:rsidTr="0071195C"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2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ind w:left="-80"/>
              <w:jc w:val="both"/>
              <w:rPr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объектов капитального строительства, требующих получения разрешения на строительство, организация строительства которых осуществлена с использованием технологий информационного моделирования и поставленных на кадастровый учет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Развитие цифровой вертикали экспертизы (рекомендовано ФОИВ)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ind w:left="-8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строительства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услуг, связанных с реализацией мероприятий, осуществляемых при реализации проектов по строительству объектов капитального строительства, переведенных в электронный вид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объектов,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объектов капитального строительства, требующих получения разрешения на строительство, организация строительства которых осуществлена с использованием технологий информационного моделирования и поставленных на кадастровый учет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Экспертные организации субъекта Российской Федерации подключены к Единой цифровой платформе экспертизы (далее – ЕЦПЭ)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Да – «1»/</w:t>
            </w:r>
          </w:p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Нет – «0»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D74E0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Создание суперсервиса «Цифровое строительство-Стройка в 1 клик» и перевод перечня мероприятий, осуществляемых при реализации проектов по строительству объектов капитального строительства, в электронный вид, в том числе оказание указанных мероприятий проактивно с применением реестровой модели оказания государственных и 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ind w:left="-80" w:right="-5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строительства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услуг, связанных с реализацией мероприятий, осуществляемых при реализации проектов по строительству объектов капитального строительства, переведенных в электронный вид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D74E0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Достижение «цифровой зрелости» в строительстве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E0" w:rsidRDefault="000D74E0" w:rsidP="000D74E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C77C59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7C59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муниципальных услуг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</w:p>
        </w:tc>
      </w:tr>
      <w:tr w:rsidR="00C77C59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возможности подключения (технологического присоединения) к сетям инженерно-технического обеспечения и сетям связи в электронном виде с использованием ЕПГУ (РПГУ) (рекомендовано ФОИВ)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ind w:left="-80" w:right="-5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строительства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услуг, связанных с реализацией мероприятий, осуществляемых при реализации проектов по строительству объектов капитального строительства, переведенных в электронный вид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77C59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Развитие информационного ресурса в строительстве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ind w:left="-80" w:right="-50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строительства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Достижение «цифровой зрелости» в строительстве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C77C59" w:rsidTr="000D74E0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11. Безопасность</w:t>
            </w:r>
          </w:p>
        </w:tc>
      </w:tr>
      <w:tr w:rsidR="00C77C59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C77C59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C77C59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7C59" w:rsidTr="000D74E0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Цифровизация процесса оказания финансовой помощи населению, пострадавшему в результате ЧС природного и техногенного характера (рекомендовано ФОИВ)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Комитет региональной безопасности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Фактический перевод процесса оказания финансовой помощи населению, пострадавшему в результате ЧС природного и техногенного характера, на предоставление государственных услуг в I полугодии 2022 года (100% услуг)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77C59" w:rsidTr="000D74E0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государственных услуг, направленных на оказание финансовой помощи гражданам, пострадавшим в результате ЧС природного и техногенного характера, оказанных в электронной форме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77C59" w:rsidTr="000D74E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Развитие «Озера данных» регионального уровня в рамках РСЧС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Комитет региональной безопасности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Перевод в цифровой формат информационного взаимодействия со всеми (100%) органами повседневного управления территориальной подсистемы РСЧС до 2024 года</w:t>
            </w:r>
          </w:p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</w:p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</w:p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</w:p>
          <w:p w:rsidR="00C77C59" w:rsidRDefault="00C77C59" w:rsidP="00C77C59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C59" w:rsidRDefault="00C77C59" w:rsidP="00C77C5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B231AF" w:rsidRDefault="00B231AF"/>
    <w:tbl>
      <w:tblPr>
        <w:tblW w:w="0" w:type="auto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1"/>
        <w:gridCol w:w="2842"/>
        <w:gridCol w:w="2581"/>
        <w:gridCol w:w="6774"/>
        <w:gridCol w:w="1179"/>
        <w:gridCol w:w="834"/>
        <w:gridCol w:w="710"/>
        <w:gridCol w:w="680"/>
      </w:tblGrid>
      <w:tr w:rsidR="00B231AF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12. Культура</w:t>
            </w:r>
          </w:p>
        </w:tc>
      </w:tr>
      <w:tr w:rsidR="00B231AF">
        <w:trPr>
          <w:trHeight w:val="458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B231AF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Культурно-туристический портал «Соловьиный край»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культуры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Посещаемость культурно-туристического портала «Соловьиный край»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тыс. просмотров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Виртуальные музеи на территории Курской области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культуры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населением Курской области ресурса «Виртуальный музей»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тыс. просмотров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B231AF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13. Экология и природопользование</w:t>
            </w:r>
          </w:p>
        </w:tc>
      </w:tr>
      <w:tr w:rsidR="00B231AF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B231AF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231AF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Региональная система управления недропользованием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природных ресурсов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реестровой геологической информации, интегрированной в федеральную информационную систему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231AF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Процент актуализации реестровых сведений об участках недр местного значения и о лицензиях на пользование недрами, выданных органом исполнительной власти Курской области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Внедрение платформы региональной контрольно-надзорной деятельности в сфере экологии на базе ТОР КНД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природных ресурсов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Ведение контрольно-надзорной деятельности в программно-технологическом обеспечении ТОР КНД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231AF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Система управления лесным комплексом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природных ресурсов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Внесение лесных деклараций и отчетов об использовании лесов в систему учета древесины и сделок с ней (ЛесЕГИАС)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231AF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Увеличение доли государственных услуг в области лесных отношений, предоставляемых в электронной форме, к общему числу государственных услуг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231AF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Региональная автоматизированная информационная система «Охотбилеты/Охотресурсы»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природных ресурсов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заявителей, использующих возможность подачи заявления на выдачу охотничьего билета единого федерального образца через Единый портал государственных и муниципальных услуг посредством ведомственной информационной системы «Выдача и аннулирование охотничьих билетов единого федерального образца» от общего числа оказанных услуг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231AF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заявителей, использующих возможность подачи заявления на выдачу разрешения на добычу охотничьих ресурсов через Единый портал государственных и муниципальных услуг посредством ведомственной информационной системы «Выдача и аннулирование охотничьих билетов единого федерального образца»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231AF">
        <w:tc>
          <w:tcPr>
            <w:tcW w:w="16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 Сельское хозяйство</w:t>
            </w:r>
          </w:p>
        </w:tc>
      </w:tr>
      <w:tr w:rsidR="00B231AF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проекта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Ответственный РОИВ</w:t>
            </w:r>
          </w:p>
        </w:tc>
        <w:tc>
          <w:tcPr>
            <w:tcW w:w="6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Единица измерения показателя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Значения показателя по годам</w:t>
            </w:r>
          </w:p>
        </w:tc>
      </w:tr>
      <w:tr w:rsidR="00B231AF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6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B231AF"/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Обучение студентов по направлению подготовки «Информационные системы и технологии» (профиль: «Информационные системы и технологии в АПК»)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сельского хозяйства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Набор студентов для обучения по направлению подготовки «Информационные системы и технологии» </w:t>
            </w:r>
            <w:r>
              <w:rPr>
                <w:sz w:val="20"/>
                <w:highlight w:val="white"/>
              </w:rPr>
              <w:t>(профиль: «Информационные системы и технологии в АПК»)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цифрового реестра информации о землях сельхозназначения.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сельского хозяйства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земель сельскохозяйственного назначения, имеющих цифровой контур и полную атрибутивную информацию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Внедрение сервиса электронного взаимодействия сельхозтоваропроизводителя и Министерства сельского хозяйства Курской области</w:t>
            </w:r>
          </w:p>
          <w:p w:rsidR="00B231AF" w:rsidRDefault="00B231AF">
            <w:pPr>
              <w:widowControl/>
              <w:jc w:val="both"/>
              <w:rPr>
                <w:sz w:val="20"/>
              </w:rPr>
            </w:pPr>
          </w:p>
          <w:p w:rsidR="00B231AF" w:rsidRDefault="00B231AF">
            <w:pPr>
              <w:widowControl/>
              <w:jc w:val="both"/>
              <w:rPr>
                <w:sz w:val="20"/>
              </w:rPr>
            </w:pPr>
          </w:p>
          <w:p w:rsidR="00B231AF" w:rsidRDefault="00B231AF">
            <w:pPr>
              <w:widowControl/>
              <w:jc w:val="both"/>
              <w:rPr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сельского хозяйства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мер господдержки, предоставляемых сельхозтоваропроизводителям посредством сервиса электронного взаимодействия сельхозоваропроизводителя и министерства сельского хозяйства Курской области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Создание цифрового реестра показателей о социально-экономическом состоянии сельских территорий и агломераций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сельского хозяйства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сельских населенных пунктов с информацией о постоянно проживающем в них населении, внесенных в федеральный цифровой реестр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Внедрение федеральной государственной информационной системы прослеживаемости зерна и продуктов переработки зерна (ФГИС «Зерно»)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сельского хозяйства Курской области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Доля зерна и продуктов переработки зерна, внесенные в ФГИС «Зерно»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231A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Развитие сервиса электронного взаимодействия населения, предприятий АПК и Государственной инспекции Курской области по надзору за техническим состоянием самоходных машин и других видов техники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Государственная инспекция Курской области по надзору за техническим состоянием самоходных машин и других видов техники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Количество государственных услуг, предоставляемых Государственной инспекцией Курской области по надзору за техническим состоянием самоходных машин и других видов техники в электронном виде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AF" w:rsidRDefault="005C1538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B231AF" w:rsidRDefault="005C1538">
      <w:pPr>
        <w:widowControl/>
        <w:tabs>
          <w:tab w:val="left" w:pos="1276"/>
        </w:tabs>
        <w:spacing w:line="100" w:lineRule="atLeast"/>
        <w:ind w:right="-739" w:firstLine="709"/>
        <w:contextualSpacing/>
        <w:jc w:val="right"/>
        <w:rPr>
          <w:sz w:val="28"/>
        </w:rPr>
      </w:pPr>
      <w:r>
        <w:rPr>
          <w:sz w:val="28"/>
        </w:rPr>
        <w:t>».</w:t>
      </w:r>
    </w:p>
    <w:sectPr w:rsidR="00B231AF">
      <w:headerReference w:type="default" r:id="rId8"/>
      <w:pgSz w:w="16838" w:h="11906" w:orient="landscape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8C" w:rsidRDefault="0012108C">
      <w:r>
        <w:separator/>
      </w:r>
    </w:p>
  </w:endnote>
  <w:endnote w:type="continuationSeparator" w:id="0">
    <w:p w:rsidR="0012108C" w:rsidRDefault="0012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8C" w:rsidRDefault="0012108C">
      <w:r>
        <w:separator/>
      </w:r>
    </w:p>
  </w:footnote>
  <w:footnote w:type="continuationSeparator" w:id="0">
    <w:p w:rsidR="0012108C" w:rsidRDefault="00121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8C" w:rsidRDefault="0012108C">
    <w:pPr>
      <w:pStyle w:val="af"/>
      <w:jc w:val="center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E25CA0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8C" w:rsidRDefault="0012108C">
    <w:pPr>
      <w:pStyle w:val="af"/>
      <w:jc w:val="center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E25CA0">
      <w:rPr>
        <w:noProof/>
        <w:sz w:val="24"/>
      </w:rPr>
      <w:t>22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958A6"/>
    <w:multiLevelType w:val="multilevel"/>
    <w:tmpl w:val="43B607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6A26"/>
    <w:multiLevelType w:val="multilevel"/>
    <w:tmpl w:val="16A646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B17B8"/>
    <w:multiLevelType w:val="hybridMultilevel"/>
    <w:tmpl w:val="D3A27F08"/>
    <w:lvl w:ilvl="0" w:tplc="87F68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333902"/>
    <w:multiLevelType w:val="multilevel"/>
    <w:tmpl w:val="9BF8287C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C76601"/>
    <w:multiLevelType w:val="multilevel"/>
    <w:tmpl w:val="FA786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8271B"/>
    <w:multiLevelType w:val="multilevel"/>
    <w:tmpl w:val="DB6A0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C7A29"/>
    <w:multiLevelType w:val="multilevel"/>
    <w:tmpl w:val="84CC0D08"/>
    <w:lvl w:ilvl="0">
      <w:start w:val="1"/>
      <w:numFmt w:val="decimal"/>
      <w:pStyle w:val="bullets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42770E"/>
    <w:multiLevelType w:val="multilevel"/>
    <w:tmpl w:val="3D381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F"/>
    <w:rsid w:val="000D74E0"/>
    <w:rsid w:val="0012108C"/>
    <w:rsid w:val="0036604E"/>
    <w:rsid w:val="004F4700"/>
    <w:rsid w:val="0054119E"/>
    <w:rsid w:val="005C1538"/>
    <w:rsid w:val="006B7872"/>
    <w:rsid w:val="006D12C7"/>
    <w:rsid w:val="00743E9C"/>
    <w:rsid w:val="008010F1"/>
    <w:rsid w:val="008A510B"/>
    <w:rsid w:val="008E04CE"/>
    <w:rsid w:val="009059D0"/>
    <w:rsid w:val="0098124B"/>
    <w:rsid w:val="009C7154"/>
    <w:rsid w:val="00AA67D7"/>
    <w:rsid w:val="00B231AF"/>
    <w:rsid w:val="00BE5A23"/>
    <w:rsid w:val="00C77C59"/>
    <w:rsid w:val="00D8036C"/>
    <w:rsid w:val="00DB6837"/>
    <w:rsid w:val="00E25CA0"/>
    <w:rsid w:val="00F7014B"/>
    <w:rsid w:val="00FC2C8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32A48-E864-4E10-8AC4-B04EB023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A510B"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widowControl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link w:val="30"/>
    <w:uiPriority w:val="9"/>
    <w:qFormat/>
    <w:pPr>
      <w:spacing w:after="160" w:line="264" w:lineRule="auto"/>
      <w:outlineLvl w:val="2"/>
    </w:pPr>
    <w:rPr>
      <w:i/>
      <w:color w:val="1B2232"/>
      <w:sz w:val="26"/>
    </w:rPr>
  </w:style>
  <w:style w:type="paragraph" w:styleId="4">
    <w:name w:val="heading 4"/>
    <w:basedOn w:val="a"/>
    <w:link w:val="41"/>
    <w:uiPriority w:val="9"/>
    <w:qFormat/>
    <w:pPr>
      <w:widowControl/>
      <w:spacing w:before="80" w:after="80" w:line="276" w:lineRule="auto"/>
      <w:outlineLvl w:val="3"/>
    </w:pPr>
    <w:rPr>
      <w:color w:val="1B2232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4"/>
    </w:rPr>
  </w:style>
  <w:style w:type="paragraph" w:customStyle="1" w:styleId="Style13">
    <w:name w:val="Style13"/>
    <w:basedOn w:val="a"/>
    <w:link w:val="Style130"/>
  </w:style>
  <w:style w:type="character" w:customStyle="1" w:styleId="Style130">
    <w:name w:val="Style13"/>
    <w:basedOn w:val="12"/>
    <w:link w:val="Style13"/>
    <w:rPr>
      <w:sz w:val="24"/>
    </w:rPr>
  </w:style>
  <w:style w:type="paragraph" w:customStyle="1" w:styleId="Style3">
    <w:name w:val="Style3"/>
    <w:basedOn w:val="a"/>
    <w:link w:val="Style30"/>
  </w:style>
  <w:style w:type="character" w:customStyle="1" w:styleId="Style30">
    <w:name w:val="Style3"/>
    <w:basedOn w:val="12"/>
    <w:link w:val="Style3"/>
    <w:rPr>
      <w:sz w:val="24"/>
    </w:rPr>
  </w:style>
  <w:style w:type="paragraph" w:customStyle="1" w:styleId="style41">
    <w:name w:val="style41"/>
    <w:link w:val="style410"/>
    <w:rPr>
      <w:b/>
      <w:sz w:val="24"/>
    </w:rPr>
  </w:style>
  <w:style w:type="character" w:customStyle="1" w:styleId="style410">
    <w:name w:val="style41"/>
    <w:link w:val="style41"/>
    <w:rPr>
      <w:b/>
      <w:sz w:val="24"/>
    </w:rPr>
  </w:style>
  <w:style w:type="paragraph" w:styleId="21">
    <w:name w:val="toc 2"/>
    <w:basedOn w:val="a"/>
    <w:next w:val="a"/>
    <w:link w:val="22"/>
    <w:uiPriority w:val="39"/>
    <w:pPr>
      <w:widowControl/>
      <w:spacing w:after="100" w:line="264" w:lineRule="auto"/>
      <w:ind w:left="220"/>
    </w:pPr>
    <w:rPr>
      <w:rFonts w:asciiTheme="minorHAnsi" w:hAnsiTheme="minorHAnsi"/>
      <w:sz w:val="22"/>
    </w:rPr>
  </w:style>
  <w:style w:type="character" w:customStyle="1" w:styleId="22">
    <w:name w:val="Оглавление 2 Знак"/>
    <w:basedOn w:val="12"/>
    <w:link w:val="21"/>
    <w:rPr>
      <w:rFonts w:asciiTheme="minorHAnsi" w:hAnsiTheme="minorHAnsi"/>
      <w:sz w:val="22"/>
    </w:rPr>
  </w:style>
  <w:style w:type="paragraph" w:customStyle="1" w:styleId="13">
    <w:name w:val="Знак Знак Знак Знак Знак Знак Знак Знак Знак Знак Знак Знак Знак Знак Знак Знак Знак Знак1"/>
    <w:basedOn w:val="a"/>
    <w:link w:val="14"/>
    <w:pPr>
      <w:widowControl/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 Знак Знак Знак Знак Знак Знак Знак Знак Знак Знак Знак Знак Знак Знак Знак Знак Знак1"/>
    <w:basedOn w:val="12"/>
    <w:link w:val="13"/>
    <w:rPr>
      <w:rFonts w:ascii="Tahoma" w:hAnsi="Tahoma"/>
      <w:sz w:val="20"/>
    </w:rPr>
  </w:style>
  <w:style w:type="paragraph" w:styleId="a3">
    <w:name w:val="annotation text"/>
    <w:basedOn w:val="a"/>
    <w:link w:val="a4"/>
    <w:pPr>
      <w:widowControl/>
    </w:pPr>
    <w:rPr>
      <w:sz w:val="20"/>
    </w:rPr>
  </w:style>
  <w:style w:type="character" w:customStyle="1" w:styleId="a4">
    <w:name w:val="Текст примечания Знак"/>
    <w:basedOn w:val="12"/>
    <w:link w:val="a3"/>
    <w:rPr>
      <w:sz w:val="20"/>
    </w:rPr>
  </w:style>
  <w:style w:type="paragraph" w:customStyle="1" w:styleId="Style10">
    <w:name w:val="Style10"/>
    <w:basedOn w:val="a"/>
    <w:link w:val="Style100"/>
  </w:style>
  <w:style w:type="character" w:customStyle="1" w:styleId="Style100">
    <w:name w:val="Style10"/>
    <w:basedOn w:val="12"/>
    <w:link w:val="Style10"/>
    <w:rPr>
      <w:sz w:val="24"/>
    </w:rPr>
  </w:style>
  <w:style w:type="paragraph" w:customStyle="1" w:styleId="a5">
    <w:name w:val="Основной"/>
    <w:basedOn w:val="a"/>
    <w:link w:val="a6"/>
    <w:pPr>
      <w:widowControl/>
      <w:spacing w:line="360" w:lineRule="auto"/>
      <w:ind w:firstLine="567"/>
      <w:jc w:val="both"/>
    </w:pPr>
  </w:style>
  <w:style w:type="character" w:customStyle="1" w:styleId="a6">
    <w:name w:val="Основной"/>
    <w:basedOn w:val="12"/>
    <w:link w:val="a5"/>
    <w:rPr>
      <w:sz w:val="24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FontStyle20">
    <w:name w:val="Font Style20"/>
    <w:link w:val="FontStyle200"/>
    <w:rPr>
      <w:b/>
      <w:sz w:val="24"/>
    </w:rPr>
  </w:style>
  <w:style w:type="character" w:customStyle="1" w:styleId="FontStyle200">
    <w:name w:val="Font Style20"/>
    <w:link w:val="FontStyle20"/>
    <w:rPr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</w:style>
  <w:style w:type="character" w:customStyle="1" w:styleId="Style20">
    <w:name w:val="Style2"/>
    <w:basedOn w:val="12"/>
    <w:link w:val="Style2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1">
    <w:name w:val="Style1"/>
    <w:basedOn w:val="a"/>
    <w:link w:val="Style11"/>
    <w:pPr>
      <w:spacing w:line="576" w:lineRule="exact"/>
      <w:jc w:val="center"/>
    </w:pPr>
  </w:style>
  <w:style w:type="character" w:customStyle="1" w:styleId="Style11">
    <w:name w:val="Style1"/>
    <w:basedOn w:val="12"/>
    <w:link w:val="Style1"/>
    <w:rPr>
      <w:sz w:val="24"/>
    </w:rPr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Просмотренная гиперссылка1"/>
    <w:link w:val="1a"/>
    <w:rPr>
      <w:color w:val="800080"/>
      <w:u w:val="single"/>
    </w:rPr>
  </w:style>
  <w:style w:type="character" w:customStyle="1" w:styleId="1a">
    <w:name w:val="Просмотренная гиперссылка1"/>
    <w:link w:val="19"/>
    <w:rPr>
      <w:color w:val="800080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i/>
      <w:color w:val="1B2232"/>
      <w:sz w:val="26"/>
    </w:rPr>
  </w:style>
  <w:style w:type="paragraph" w:customStyle="1" w:styleId="FontStyle25">
    <w:name w:val="Font Style25"/>
    <w:link w:val="FontStyle250"/>
    <w:rPr>
      <w:b/>
      <w:sz w:val="28"/>
    </w:rPr>
  </w:style>
  <w:style w:type="character" w:customStyle="1" w:styleId="FontStyle250">
    <w:name w:val="Font Style25"/>
    <w:link w:val="FontStyle25"/>
    <w:rPr>
      <w:b/>
      <w:sz w:val="28"/>
    </w:rPr>
  </w:style>
  <w:style w:type="paragraph" w:customStyle="1" w:styleId="Style7">
    <w:name w:val="Style7"/>
    <w:basedOn w:val="a"/>
    <w:link w:val="Style70"/>
  </w:style>
  <w:style w:type="character" w:customStyle="1" w:styleId="Style70">
    <w:name w:val="Style7"/>
    <w:basedOn w:val="12"/>
    <w:link w:val="Style7"/>
    <w:rPr>
      <w:sz w:val="24"/>
    </w:rPr>
  </w:style>
  <w:style w:type="paragraph" w:customStyle="1" w:styleId="1b">
    <w:name w:val="1"/>
    <w:basedOn w:val="a"/>
    <w:link w:val="1c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c">
    <w:name w:val="1"/>
    <w:basedOn w:val="12"/>
    <w:link w:val="1b"/>
    <w:rPr>
      <w:rFonts w:ascii="Verdana" w:hAnsi="Verdana"/>
      <w:sz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  <w:sz w:val="20"/>
    </w:rPr>
  </w:style>
  <w:style w:type="paragraph" w:customStyle="1" w:styleId="Style9">
    <w:name w:val="Style9"/>
    <w:basedOn w:val="a"/>
    <w:link w:val="Style90"/>
  </w:style>
  <w:style w:type="character" w:customStyle="1" w:styleId="Style90">
    <w:name w:val="Style9"/>
    <w:basedOn w:val="12"/>
    <w:link w:val="Style9"/>
    <w:rPr>
      <w:sz w:val="24"/>
    </w:rPr>
  </w:style>
  <w:style w:type="paragraph" w:customStyle="1" w:styleId="a7">
    <w:name w:val="Номер"/>
    <w:basedOn w:val="a"/>
    <w:link w:val="a8"/>
    <w:pPr>
      <w:widowControl/>
      <w:jc w:val="center"/>
    </w:pPr>
    <w:rPr>
      <w:sz w:val="28"/>
    </w:rPr>
  </w:style>
  <w:style w:type="character" w:customStyle="1" w:styleId="a8">
    <w:name w:val="Номер"/>
    <w:basedOn w:val="12"/>
    <w:link w:val="a7"/>
    <w:rPr>
      <w:sz w:val="28"/>
    </w:rPr>
  </w:style>
  <w:style w:type="paragraph" w:customStyle="1" w:styleId="1d">
    <w:name w:val="Основной шрифт абзаца1"/>
  </w:style>
  <w:style w:type="paragraph" w:customStyle="1" w:styleId="tabl">
    <w:name w:val="tabl"/>
    <w:basedOn w:val="a"/>
    <w:link w:val="tabl0"/>
    <w:pPr>
      <w:widowControl/>
    </w:pPr>
    <w:rPr>
      <w:rFonts w:ascii="Arial" w:hAnsi="Arial"/>
      <w:sz w:val="20"/>
    </w:rPr>
  </w:style>
  <w:style w:type="character" w:customStyle="1" w:styleId="tabl0">
    <w:name w:val="tabl"/>
    <w:basedOn w:val="12"/>
    <w:link w:val="tabl"/>
    <w:rPr>
      <w:rFonts w:ascii="Arial" w:hAnsi="Arial"/>
      <w:sz w:val="20"/>
    </w:rPr>
  </w:style>
  <w:style w:type="paragraph" w:styleId="a9">
    <w:name w:val="Normal (Web)"/>
    <w:basedOn w:val="a"/>
    <w:link w:val="aa"/>
    <w:pPr>
      <w:widowControl/>
      <w:spacing w:beforeAutospacing="1" w:afterAutospacing="1"/>
    </w:pPr>
  </w:style>
  <w:style w:type="character" w:customStyle="1" w:styleId="aa">
    <w:name w:val="Обычный (веб) Знак"/>
    <w:basedOn w:val="12"/>
    <w:link w:val="a9"/>
    <w:rPr>
      <w:sz w:val="24"/>
    </w:rPr>
  </w:style>
  <w:style w:type="paragraph" w:customStyle="1" w:styleId="Style4">
    <w:name w:val="Style4"/>
    <w:basedOn w:val="a"/>
    <w:link w:val="Style40"/>
  </w:style>
  <w:style w:type="character" w:customStyle="1" w:styleId="Style40">
    <w:name w:val="Style4"/>
    <w:basedOn w:val="12"/>
    <w:link w:val="Style4"/>
    <w:rPr>
      <w:sz w:val="24"/>
    </w:rPr>
  </w:style>
  <w:style w:type="paragraph" w:customStyle="1" w:styleId="Style8">
    <w:name w:val="Style8"/>
    <w:basedOn w:val="a"/>
    <w:link w:val="Style80"/>
  </w:style>
  <w:style w:type="character" w:customStyle="1" w:styleId="Style80">
    <w:name w:val="Style8"/>
    <w:basedOn w:val="12"/>
    <w:link w:val="Style8"/>
    <w:rPr>
      <w:sz w:val="24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ab">
    <w:name w:val="Знак Знак Знак Знак"/>
    <w:basedOn w:val="a"/>
    <w:link w:val="ac"/>
    <w:pPr>
      <w:widowControl/>
      <w:spacing w:beforeAutospacing="1" w:afterAutospacing="1"/>
    </w:pPr>
    <w:rPr>
      <w:rFonts w:ascii="Tahoma" w:hAnsi="Tahoma"/>
      <w:sz w:val="20"/>
    </w:rPr>
  </w:style>
  <w:style w:type="character" w:customStyle="1" w:styleId="ac">
    <w:name w:val="Знак Знак Знак Знак"/>
    <w:basedOn w:val="12"/>
    <w:link w:val="ab"/>
    <w:rPr>
      <w:rFonts w:ascii="Tahoma" w:hAnsi="Tahoma"/>
      <w:sz w:val="20"/>
    </w:rPr>
  </w:style>
  <w:style w:type="paragraph" w:customStyle="1" w:styleId="FontStyle23">
    <w:name w:val="Font Style23"/>
    <w:link w:val="FontStyle230"/>
    <w:rPr>
      <w:sz w:val="28"/>
    </w:rPr>
  </w:style>
  <w:style w:type="character" w:customStyle="1" w:styleId="FontStyle230">
    <w:name w:val="Font Style23"/>
    <w:link w:val="FontStyle23"/>
    <w:rPr>
      <w:sz w:val="28"/>
    </w:rPr>
  </w:style>
  <w:style w:type="paragraph" w:customStyle="1" w:styleId="1e">
    <w:name w:val="Знак примечания1"/>
    <w:basedOn w:val="1f"/>
    <w:link w:val="1f0"/>
    <w:rPr>
      <w:sz w:val="16"/>
    </w:rPr>
  </w:style>
  <w:style w:type="character" w:customStyle="1" w:styleId="1f0">
    <w:name w:val="Знак примечания1"/>
    <w:basedOn w:val="1f1"/>
    <w:link w:val="1e"/>
    <w:rPr>
      <w:sz w:val="16"/>
    </w:rPr>
  </w:style>
  <w:style w:type="paragraph" w:customStyle="1" w:styleId="ad">
    <w:name w:val="Знак Знак Знак Знак Знак Знак Знак"/>
    <w:basedOn w:val="a"/>
    <w:link w:val="ae"/>
    <w:pPr>
      <w:widowControl/>
      <w:spacing w:beforeAutospacing="1" w:afterAutospacing="1"/>
    </w:pPr>
    <w:rPr>
      <w:rFonts w:ascii="Tahoma" w:hAnsi="Tahoma"/>
      <w:sz w:val="20"/>
    </w:rPr>
  </w:style>
  <w:style w:type="character" w:customStyle="1" w:styleId="ae">
    <w:name w:val="Знак Знак Знак Знак Знак Знак Знак"/>
    <w:basedOn w:val="12"/>
    <w:link w:val="ad"/>
    <w:rPr>
      <w:rFonts w:ascii="Tahoma" w:hAnsi="Tahoma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FontStyle26">
    <w:name w:val="Font Style26"/>
    <w:link w:val="FontStyle260"/>
    <w:rPr>
      <w:b/>
    </w:rPr>
  </w:style>
  <w:style w:type="character" w:customStyle="1" w:styleId="FontStyle260">
    <w:name w:val="Font Style26"/>
    <w:link w:val="FontStyle26"/>
    <w:rPr>
      <w:b/>
    </w:rPr>
  </w:style>
  <w:style w:type="paragraph" w:customStyle="1" w:styleId="Style5">
    <w:name w:val="Style5"/>
    <w:basedOn w:val="a"/>
    <w:link w:val="Style50"/>
    <w:pPr>
      <w:spacing w:line="274" w:lineRule="exact"/>
    </w:pPr>
  </w:style>
  <w:style w:type="character" w:customStyle="1" w:styleId="Style50">
    <w:name w:val="Style5"/>
    <w:basedOn w:val="12"/>
    <w:link w:val="Style5"/>
    <w:rPr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43">
    <w:name w:val="Заголовок 4 Знак"/>
    <w:basedOn w:val="1f2"/>
    <w:link w:val="44"/>
    <w:rPr>
      <w:color w:val="1B2232"/>
    </w:rPr>
  </w:style>
  <w:style w:type="character" w:customStyle="1" w:styleId="44">
    <w:name w:val="Заголовок 4 Знак"/>
    <w:basedOn w:val="1"/>
    <w:link w:val="43"/>
    <w:rPr>
      <w:color w:val="1B2232"/>
      <w:sz w:val="24"/>
    </w:rPr>
  </w:style>
  <w:style w:type="paragraph" w:styleId="33">
    <w:name w:val="toc 3"/>
    <w:basedOn w:val="a"/>
    <w:next w:val="a"/>
    <w:link w:val="34"/>
    <w:uiPriority w:val="39"/>
    <w:pPr>
      <w:widowControl/>
      <w:spacing w:after="100" w:line="264" w:lineRule="auto"/>
      <w:ind w:left="440"/>
    </w:pPr>
    <w:rPr>
      <w:rFonts w:asciiTheme="minorHAnsi" w:hAnsiTheme="minorHAnsi"/>
      <w:sz w:val="22"/>
    </w:rPr>
  </w:style>
  <w:style w:type="character" w:customStyle="1" w:styleId="34">
    <w:name w:val="Оглавление 3 Знак"/>
    <w:basedOn w:val="12"/>
    <w:link w:val="33"/>
    <w:rPr>
      <w:rFonts w:asciiTheme="minorHAnsi" w:hAnsiTheme="minorHAnsi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DefaultParagraphFontParaCharChar">
    <w:name w:val="Default Paragraph Font Para Char Char Знак"/>
    <w:basedOn w:val="a"/>
    <w:link w:val="DefaultParagraphFontParaCharChar0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DefaultParagraphFontParaCharChar0">
    <w:name w:val="Default Paragraph Font Para Char Char Знак"/>
    <w:basedOn w:val="12"/>
    <w:link w:val="DefaultParagraphFontParaCharChar"/>
    <w:rPr>
      <w:rFonts w:ascii="Verdana" w:hAnsi="Verdana"/>
      <w:sz w:val="20"/>
    </w:rPr>
  </w:style>
  <w:style w:type="paragraph" w:customStyle="1" w:styleId="FontStyle22">
    <w:name w:val="Font Style22"/>
    <w:link w:val="FontStyle220"/>
    <w:rPr>
      <w:b/>
      <w:sz w:val="14"/>
    </w:rPr>
  </w:style>
  <w:style w:type="character" w:customStyle="1" w:styleId="FontStyle220">
    <w:name w:val="Font Style22"/>
    <w:link w:val="FontStyle22"/>
    <w:rPr>
      <w:b/>
      <w:sz w:val="1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Style16">
    <w:name w:val="Style16"/>
    <w:basedOn w:val="a"/>
    <w:link w:val="Style160"/>
  </w:style>
  <w:style w:type="character" w:customStyle="1" w:styleId="Style160">
    <w:name w:val="Style16"/>
    <w:basedOn w:val="12"/>
    <w:link w:val="Style16"/>
    <w:rPr>
      <w:sz w:val="24"/>
    </w:rPr>
  </w:style>
  <w:style w:type="paragraph" w:customStyle="1" w:styleId="Style14">
    <w:name w:val="Style14"/>
    <w:basedOn w:val="a"/>
    <w:link w:val="Style140"/>
  </w:style>
  <w:style w:type="character" w:customStyle="1" w:styleId="Style140">
    <w:name w:val="Style14"/>
    <w:basedOn w:val="12"/>
    <w:link w:val="Style14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">
    <w:name w:val="header"/>
    <w:basedOn w:val="a"/>
    <w:link w:val="af0"/>
    <w:pPr>
      <w:widowControl/>
      <w:tabs>
        <w:tab w:val="center" w:pos="4677"/>
        <w:tab w:val="right" w:pos="9355"/>
      </w:tabs>
    </w:pPr>
    <w:rPr>
      <w:sz w:val="28"/>
    </w:rPr>
  </w:style>
  <w:style w:type="character" w:customStyle="1" w:styleId="af0">
    <w:name w:val="Верхний колонтитул Знак"/>
    <w:basedOn w:val="12"/>
    <w:link w:val="af"/>
    <w:rPr>
      <w:sz w:val="28"/>
    </w:rPr>
  </w:style>
  <w:style w:type="paragraph" w:customStyle="1" w:styleId="af1">
    <w:name w:val="Обычный (паспорт)"/>
    <w:basedOn w:val="a"/>
    <w:link w:val="af2"/>
    <w:pPr>
      <w:widowControl/>
      <w:spacing w:before="120"/>
      <w:jc w:val="both"/>
    </w:pPr>
    <w:rPr>
      <w:sz w:val="28"/>
    </w:rPr>
  </w:style>
  <w:style w:type="character" w:customStyle="1" w:styleId="af2">
    <w:name w:val="Обычный (паспорт)"/>
    <w:basedOn w:val="12"/>
    <w:link w:val="af1"/>
    <w:rPr>
      <w:sz w:val="28"/>
    </w:rPr>
  </w:style>
  <w:style w:type="paragraph" w:styleId="af3">
    <w:name w:val="No Spacing"/>
    <w:link w:val="af4"/>
    <w:pPr>
      <w:widowControl w:val="0"/>
    </w:pPr>
    <w:rPr>
      <w:sz w:val="24"/>
    </w:rPr>
  </w:style>
  <w:style w:type="character" w:customStyle="1" w:styleId="af4">
    <w:name w:val="Без интервала Знак"/>
    <w:link w:val="af3"/>
    <w:rPr>
      <w:sz w:val="24"/>
    </w:rPr>
  </w:style>
  <w:style w:type="paragraph" w:customStyle="1" w:styleId="Style6">
    <w:name w:val="Style6"/>
    <w:basedOn w:val="a"/>
    <w:link w:val="Style60"/>
  </w:style>
  <w:style w:type="character" w:customStyle="1" w:styleId="Style60">
    <w:name w:val="Style6"/>
    <w:basedOn w:val="12"/>
    <w:link w:val="Style6"/>
    <w:rPr>
      <w:sz w:val="24"/>
    </w:rPr>
  </w:style>
  <w:style w:type="character" w:customStyle="1" w:styleId="11">
    <w:name w:val="Заголовок 1 Знак"/>
    <w:basedOn w:val="12"/>
    <w:link w:val="10"/>
    <w:rPr>
      <w:rFonts w:ascii="Cambria" w:hAnsi="Cambria"/>
      <w:b/>
      <w:color w:val="365F91"/>
      <w:sz w:val="28"/>
    </w:rPr>
  </w:style>
  <w:style w:type="paragraph" w:customStyle="1" w:styleId="29">
    <w:name w:val="Основной текст (2)"/>
    <w:basedOn w:val="a"/>
    <w:link w:val="2a"/>
    <w:pPr>
      <w:spacing w:line="322" w:lineRule="exact"/>
    </w:pPr>
    <w:rPr>
      <w:sz w:val="28"/>
    </w:rPr>
  </w:style>
  <w:style w:type="character" w:customStyle="1" w:styleId="2a">
    <w:name w:val="Основной текст (2)"/>
    <w:basedOn w:val="12"/>
    <w:link w:val="29"/>
    <w:rPr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2"/>
    <w:link w:val="af5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2"/>
    <w:link w:val="af7"/>
    <w:rPr>
      <w:rFonts w:ascii="Tahoma" w:hAnsi="Tahoma"/>
      <w:sz w:val="16"/>
    </w:rPr>
  </w:style>
  <w:style w:type="paragraph" w:customStyle="1" w:styleId="1f5">
    <w:name w:val="Гиперссылка1"/>
    <w:link w:val="af9"/>
    <w:rPr>
      <w:color w:val="0000FF"/>
      <w:u w:val="single"/>
    </w:rPr>
  </w:style>
  <w:style w:type="character" w:styleId="af9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</w:pPr>
    <w:rPr>
      <w:rFonts w:ascii="Calibri" w:hAnsi="Calibri"/>
      <w:sz w:val="20"/>
    </w:rPr>
  </w:style>
  <w:style w:type="character" w:customStyle="1" w:styleId="Footnote0">
    <w:name w:val="Footnote"/>
    <w:basedOn w:val="12"/>
    <w:link w:val="Footnote"/>
    <w:rPr>
      <w:rFonts w:ascii="Calibri" w:hAnsi="Calibri"/>
      <w:sz w:val="20"/>
    </w:rPr>
  </w:style>
  <w:style w:type="paragraph" w:customStyle="1" w:styleId="Style12">
    <w:name w:val="Style12"/>
    <w:basedOn w:val="a"/>
    <w:link w:val="Style120"/>
  </w:style>
  <w:style w:type="character" w:customStyle="1" w:styleId="Style120">
    <w:name w:val="Style12"/>
    <w:basedOn w:val="12"/>
    <w:link w:val="Style12"/>
    <w:rPr>
      <w:sz w:val="24"/>
    </w:rPr>
  </w:style>
  <w:style w:type="paragraph" w:styleId="1f6">
    <w:name w:val="toc 1"/>
    <w:basedOn w:val="a"/>
    <w:next w:val="a"/>
    <w:link w:val="1f7"/>
    <w:uiPriority w:val="39"/>
    <w:pPr>
      <w:widowControl/>
      <w:spacing w:after="100" w:line="264" w:lineRule="auto"/>
    </w:pPr>
    <w:rPr>
      <w:rFonts w:asciiTheme="minorHAnsi" w:hAnsiTheme="minorHAnsi"/>
      <w:sz w:val="22"/>
    </w:rPr>
  </w:style>
  <w:style w:type="character" w:customStyle="1" w:styleId="1f7">
    <w:name w:val="Оглавление 1 Знак"/>
    <w:basedOn w:val="12"/>
    <w:link w:val="1f6"/>
    <w:rPr>
      <w:rFonts w:asciiTheme="minorHAnsi" w:hAnsiTheme="minorHAnsi"/>
      <w:sz w:val="22"/>
    </w:rPr>
  </w:style>
  <w:style w:type="paragraph" w:customStyle="1" w:styleId="1f8">
    <w:name w:val="Знак Знак Знак Знак1"/>
    <w:basedOn w:val="a"/>
    <w:link w:val="1f9"/>
    <w:pPr>
      <w:widowControl/>
      <w:spacing w:beforeAutospacing="1" w:afterAutospacing="1"/>
    </w:pPr>
    <w:rPr>
      <w:rFonts w:ascii="Tahoma" w:hAnsi="Tahoma"/>
      <w:sz w:val="20"/>
    </w:rPr>
  </w:style>
  <w:style w:type="character" w:customStyle="1" w:styleId="1f9">
    <w:name w:val="Знак Знак Знак Знак1"/>
    <w:basedOn w:val="12"/>
    <w:link w:val="1f8"/>
    <w:rPr>
      <w:rFonts w:ascii="Tahoma" w:hAnsi="Tahoma"/>
      <w:sz w:val="20"/>
    </w:rPr>
  </w:style>
  <w:style w:type="paragraph" w:customStyle="1" w:styleId="FontStyle24">
    <w:name w:val="Font Style24"/>
    <w:link w:val="FontStyle240"/>
    <w:rPr>
      <w:b/>
      <w:sz w:val="12"/>
    </w:rPr>
  </w:style>
  <w:style w:type="character" w:customStyle="1" w:styleId="FontStyle240">
    <w:name w:val="Font Style24"/>
    <w:link w:val="FontStyle24"/>
    <w:rPr>
      <w:b/>
      <w:sz w:val="12"/>
    </w:rPr>
  </w:style>
  <w:style w:type="paragraph" w:styleId="afa">
    <w:name w:val="annotation subject"/>
    <w:basedOn w:val="a3"/>
    <w:next w:val="a3"/>
    <w:link w:val="afb"/>
    <w:rPr>
      <w:b/>
    </w:rPr>
  </w:style>
  <w:style w:type="character" w:customStyle="1" w:styleId="afb">
    <w:name w:val="Тема примечания Знак"/>
    <w:basedOn w:val="a4"/>
    <w:link w:val="afa"/>
    <w:rPr>
      <w:b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c">
    <w:name w:val="List Paragraph"/>
    <w:basedOn w:val="a"/>
    <w:link w:val="afd"/>
    <w:pPr>
      <w:widowControl/>
      <w:ind w:left="720"/>
      <w:contextualSpacing/>
    </w:pPr>
  </w:style>
  <w:style w:type="character" w:customStyle="1" w:styleId="afd">
    <w:name w:val="Абзац списка Знак"/>
    <w:basedOn w:val="12"/>
    <w:link w:val="afc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paragraph" w:customStyle="1" w:styleId="Style15">
    <w:name w:val="Style15"/>
    <w:basedOn w:val="a"/>
    <w:link w:val="Style150"/>
  </w:style>
  <w:style w:type="character" w:customStyle="1" w:styleId="Style150">
    <w:name w:val="Style15"/>
    <w:basedOn w:val="12"/>
    <w:link w:val="Style15"/>
    <w:rPr>
      <w:sz w:val="24"/>
    </w:rPr>
  </w:style>
  <w:style w:type="paragraph" w:customStyle="1" w:styleId="1fc">
    <w:name w:val="Знак Знак Знак Знак Знак Знак Знак1"/>
    <w:basedOn w:val="a"/>
    <w:link w:val="1fd"/>
    <w:pPr>
      <w:widowControl/>
      <w:spacing w:beforeAutospacing="1" w:afterAutospacing="1"/>
    </w:pPr>
    <w:rPr>
      <w:rFonts w:ascii="Tahoma" w:hAnsi="Tahoma"/>
      <w:sz w:val="20"/>
    </w:rPr>
  </w:style>
  <w:style w:type="character" w:customStyle="1" w:styleId="1fd">
    <w:name w:val="Знак Знак Знак Знак Знак Знак Знак1"/>
    <w:basedOn w:val="12"/>
    <w:link w:val="1fc"/>
    <w:rPr>
      <w:rFonts w:ascii="Tahoma" w:hAnsi="Tahoma"/>
      <w:sz w:val="20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link w:val="aff"/>
    <w:pPr>
      <w:widowControl/>
      <w:spacing w:beforeAutospacing="1" w:afterAutospacing="1"/>
    </w:pPr>
    <w:rPr>
      <w:rFonts w:ascii="Tahoma" w:hAnsi="Tahoma"/>
      <w:sz w:val="20"/>
    </w:rPr>
  </w:style>
  <w:style w:type="character" w:customStyle="1" w:styleId="aff">
    <w:name w:val="Знак Знак Знак Знак Знак Знак Знак Знак Знак Знак Знак Знак Знак Знак Знак Знак Знак Знак"/>
    <w:basedOn w:val="12"/>
    <w:link w:val="afe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widowControl/>
      <w:ind w:firstLine="720"/>
      <w:jc w:val="both"/>
    </w:pPr>
    <w:rPr>
      <w:rFonts w:ascii="Arial" w:hAnsi="Arial"/>
      <w:sz w:val="28"/>
    </w:rPr>
  </w:style>
  <w:style w:type="character" w:customStyle="1" w:styleId="211">
    <w:name w:val="Основной текст 21"/>
    <w:basedOn w:val="12"/>
    <w:link w:val="210"/>
    <w:rPr>
      <w:rFonts w:ascii="Arial" w:hAnsi="Arial"/>
      <w:sz w:val="28"/>
    </w:rPr>
  </w:style>
  <w:style w:type="paragraph" w:customStyle="1" w:styleId="FontStyle18">
    <w:name w:val="Font Style18"/>
    <w:link w:val="FontStyle180"/>
    <w:rPr>
      <w:b/>
      <w:sz w:val="32"/>
    </w:rPr>
  </w:style>
  <w:style w:type="character" w:customStyle="1" w:styleId="FontStyle180">
    <w:name w:val="Font Style18"/>
    <w:link w:val="FontStyle18"/>
    <w:rPr>
      <w:b/>
      <w:sz w:val="32"/>
    </w:rPr>
  </w:style>
  <w:style w:type="paragraph" w:styleId="aff0">
    <w:name w:val="TOC Heading"/>
    <w:basedOn w:val="10"/>
    <w:next w:val="a"/>
    <w:link w:val="aff1"/>
    <w:pPr>
      <w:spacing w:before="240" w:line="264" w:lineRule="auto"/>
      <w:outlineLvl w:val="8"/>
    </w:pPr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aff1">
    <w:name w:val="Заголовок оглавления Знак"/>
    <w:basedOn w:val="11"/>
    <w:link w:val="aff0"/>
    <w:rPr>
      <w:rFonts w:asciiTheme="majorHAnsi" w:hAnsiTheme="majorHAnsi"/>
      <w:b w:val="0"/>
      <w:color w:val="365F91" w:themeColor="accent1" w:themeShade="BF"/>
      <w:sz w:val="3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2">
    <w:name w:val="Обычный1"/>
    <w:link w:val="1"/>
    <w:rPr>
      <w:sz w:val="24"/>
    </w:rPr>
  </w:style>
  <w:style w:type="character" w:customStyle="1" w:styleId="1">
    <w:name w:val="Обычный1"/>
    <w:link w:val="1f2"/>
    <w:rPr>
      <w:sz w:val="24"/>
    </w:rPr>
  </w:style>
  <w:style w:type="paragraph" w:customStyle="1" w:styleId="1fe">
    <w:name w:val="Гиперссылка1"/>
    <w:link w:val="1ff"/>
    <w:rPr>
      <w:color w:val="2060A4"/>
    </w:rPr>
  </w:style>
  <w:style w:type="character" w:customStyle="1" w:styleId="1ff">
    <w:name w:val="Гиперссылка1"/>
    <w:link w:val="1fe"/>
    <w:rPr>
      <w:color w:val="2060A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110">
    <w:name w:val="Style11"/>
    <w:basedOn w:val="a"/>
    <w:link w:val="Style111"/>
  </w:style>
  <w:style w:type="character" w:customStyle="1" w:styleId="Style111">
    <w:name w:val="Style11"/>
    <w:basedOn w:val="12"/>
    <w:link w:val="Style110"/>
    <w:rPr>
      <w:sz w:val="24"/>
    </w:rPr>
  </w:style>
  <w:style w:type="paragraph" w:customStyle="1" w:styleId="1ff0">
    <w:name w:val="Выделение1"/>
    <w:link w:val="1ff1"/>
    <w:rPr>
      <w:i/>
    </w:rPr>
  </w:style>
  <w:style w:type="character" w:customStyle="1" w:styleId="1ff1">
    <w:name w:val="Выделение1"/>
    <w:link w:val="1ff0"/>
    <w:rPr>
      <w:i/>
    </w:rPr>
  </w:style>
  <w:style w:type="paragraph" w:customStyle="1" w:styleId="FontStyle21">
    <w:name w:val="Font Style21"/>
    <w:link w:val="FontStyle210"/>
    <w:rPr>
      <w:sz w:val="24"/>
    </w:rPr>
  </w:style>
  <w:style w:type="character" w:customStyle="1" w:styleId="FontStyle210">
    <w:name w:val="Font Style21"/>
    <w:link w:val="FontStyle21"/>
    <w:rPr>
      <w:sz w:val="24"/>
    </w:rPr>
  </w:style>
  <w:style w:type="paragraph" w:customStyle="1" w:styleId="212pt">
    <w:name w:val="Основной текст (2) + 12 pt"/>
    <w:basedOn w:val="29"/>
    <w:link w:val="212pt0"/>
    <w:rPr>
      <w:sz w:val="24"/>
      <w:highlight w:val="white"/>
    </w:rPr>
  </w:style>
  <w:style w:type="character" w:customStyle="1" w:styleId="212pt0">
    <w:name w:val="Основной текст (2) + 12 pt"/>
    <w:basedOn w:val="2a"/>
    <w:link w:val="212pt"/>
    <w:rPr>
      <w:sz w:val="24"/>
      <w:highlight w:val="white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bullets">
    <w:name w:val="bullets Знак"/>
    <w:basedOn w:val="a"/>
    <w:link w:val="bullets0"/>
    <w:pPr>
      <w:widowControl/>
      <w:numPr>
        <w:numId w:val="7"/>
      </w:numPr>
      <w:spacing w:before="120" w:line="360" w:lineRule="auto"/>
      <w:jc w:val="both"/>
    </w:pPr>
    <w:rPr>
      <w:rFonts w:ascii="Times New Roman CYR" w:hAnsi="Times New Roman CYR"/>
      <w:spacing w:val="-4"/>
      <w:sz w:val="28"/>
    </w:rPr>
  </w:style>
  <w:style w:type="character" w:customStyle="1" w:styleId="bullets0">
    <w:name w:val="bullets Знак"/>
    <w:basedOn w:val="12"/>
    <w:link w:val="bullets"/>
    <w:rPr>
      <w:rFonts w:ascii="Times New Roman CYR" w:hAnsi="Times New Roman CYR"/>
      <w:spacing w:val="-4"/>
      <w:sz w:val="28"/>
    </w:rPr>
  </w:style>
  <w:style w:type="paragraph" w:customStyle="1" w:styleId="FontStyle19">
    <w:name w:val="Font Style19"/>
    <w:link w:val="FontStyle190"/>
    <w:rPr>
      <w:b/>
      <w:spacing w:val="100"/>
      <w:sz w:val="42"/>
    </w:rPr>
  </w:style>
  <w:style w:type="character" w:customStyle="1" w:styleId="FontStyle190">
    <w:name w:val="Font Style19"/>
    <w:link w:val="FontStyle19"/>
    <w:rPr>
      <w:b/>
      <w:spacing w:val="100"/>
      <w:sz w:val="42"/>
    </w:rPr>
  </w:style>
  <w:style w:type="paragraph" w:customStyle="1" w:styleId="1ff4">
    <w:name w:val="Знак сноски1"/>
    <w:link w:val="1ff5"/>
    <w:rPr>
      <w:vertAlign w:val="superscript"/>
    </w:rPr>
  </w:style>
  <w:style w:type="character" w:customStyle="1" w:styleId="1ff5">
    <w:name w:val="Знак сноски1"/>
    <w:link w:val="1ff4"/>
    <w:rPr>
      <w:vertAlign w:val="superscript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f6">
    <w:name w:val="Номер страницы1"/>
    <w:link w:val="1ff7"/>
  </w:style>
  <w:style w:type="character" w:customStyle="1" w:styleId="1ff7">
    <w:name w:val="Номер страницы1"/>
    <w:link w:val="1ff6"/>
  </w:style>
  <w:style w:type="paragraph" w:styleId="aff4">
    <w:name w:val="Body Text"/>
    <w:basedOn w:val="a"/>
    <w:link w:val="aff5"/>
    <w:pPr>
      <w:widowControl/>
      <w:spacing w:after="120"/>
    </w:pPr>
    <w:rPr>
      <w:sz w:val="20"/>
    </w:rPr>
  </w:style>
  <w:style w:type="character" w:customStyle="1" w:styleId="aff5">
    <w:name w:val="Основной текст Знак"/>
    <w:basedOn w:val="12"/>
    <w:link w:val="aff4"/>
    <w:rPr>
      <w:sz w:val="20"/>
    </w:rPr>
  </w:style>
  <w:style w:type="paragraph" w:styleId="aff6">
    <w:name w:val="Title"/>
    <w:basedOn w:val="a"/>
    <w:next w:val="a"/>
    <w:link w:val="aff7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7">
    <w:name w:val="Название Знак"/>
    <w:basedOn w:val="12"/>
    <w:link w:val="aff6"/>
    <w:rPr>
      <w:rFonts w:ascii="Cambria" w:hAnsi="Cambria"/>
      <w:b/>
      <w:sz w:val="32"/>
    </w:rPr>
  </w:style>
  <w:style w:type="character" w:customStyle="1" w:styleId="41">
    <w:name w:val="Заголовок 4 Знак1"/>
    <w:basedOn w:val="12"/>
    <w:link w:val="4"/>
    <w:rPr>
      <w:color w:val="1B2232"/>
      <w:sz w:val="24"/>
    </w:rPr>
  </w:style>
  <w:style w:type="paragraph" w:customStyle="1" w:styleId="aff8">
    <w:name w:val="Знак Знак Знак Знак Знак"/>
    <w:basedOn w:val="a"/>
    <w:link w:val="aff9"/>
    <w:pPr>
      <w:widowControl/>
      <w:spacing w:beforeAutospacing="1" w:afterAutospacing="1"/>
    </w:pPr>
    <w:rPr>
      <w:rFonts w:ascii="Tahoma" w:hAnsi="Tahoma"/>
      <w:sz w:val="20"/>
    </w:rPr>
  </w:style>
  <w:style w:type="character" w:customStyle="1" w:styleId="aff9">
    <w:name w:val="Знак Знак Знак Знак Знак"/>
    <w:basedOn w:val="12"/>
    <w:link w:val="aff8"/>
    <w:rPr>
      <w:rFonts w:ascii="Tahoma" w:hAnsi="Tahoma"/>
      <w:sz w:val="20"/>
    </w:rPr>
  </w:style>
  <w:style w:type="character" w:customStyle="1" w:styleId="20">
    <w:name w:val="Заголовок 2 Знак"/>
    <w:basedOn w:val="12"/>
    <w:link w:val="2"/>
    <w:rPr>
      <w:rFonts w:asciiTheme="majorHAnsi" w:hAnsiTheme="majorHAnsi"/>
      <w:color w:val="365F91" w:themeColor="accent1" w:themeShade="BF"/>
      <w:sz w:val="26"/>
    </w:rPr>
  </w:style>
  <w:style w:type="paragraph" w:customStyle="1" w:styleId="1ff8">
    <w:name w:val="Основной текст Знак1"/>
    <w:link w:val="1ff9"/>
    <w:rPr>
      <w:sz w:val="24"/>
    </w:rPr>
  </w:style>
  <w:style w:type="character" w:customStyle="1" w:styleId="1ff9">
    <w:name w:val="Основной текст Знак1"/>
    <w:link w:val="1ff8"/>
    <w:rPr>
      <w:sz w:val="24"/>
    </w:rPr>
  </w:style>
  <w:style w:type="table" w:customStyle="1" w:styleId="11121">
    <w:name w:val="Сетка таблицы111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Сетка таблицы1210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1">
    <w:name w:val="Сетка таблицы1219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2">
    <w:name w:val="Сетка таблицы1210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1">
    <w:name w:val="Сетка таблицы139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0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0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3">
    <w:name w:val="Сетка таблицы139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1">
    <w:name w:val="Сетка таблицы1120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12">
    <w:name w:val="Сетка таблицы11119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2">
    <w:name w:val="Сетка таблицы123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3">
    <w:name w:val="Сетка таблицы219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Сетка таблицы210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2">
    <w:name w:val="Сетка таблицы1138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3">
    <w:name w:val="Сетка таблицы49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2">
    <w:name w:val="Сетка таблицы1218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2">
    <w:name w:val="Сетка таблицы1136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2">
    <w:name w:val="Сетка таблицы1137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0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2">
    <w:name w:val="Сетка таблицы11118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2">
    <w:name w:val="Сетка таблицы138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3">
    <w:name w:val="Сетка таблицы11119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11">
    <w:name w:val="Сетка таблицы11119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0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">
    <w:name w:val="Сетка таблицы49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2">
    <w:name w:val="Сетка таблицы139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2">
    <w:name w:val="Сетка таблицы11110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2">
    <w:name w:val="Сетка таблицы1219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2">
    <w:name w:val="Сетка таблицы11110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3">
    <w:name w:val="Сетка таблицы1210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a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11">
    <w:name w:val="Сетка таблицы1139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3">
    <w:name w:val="Сетка таблицы1120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3">
    <w:name w:val="Сетка таблицы120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3">
    <w:name w:val="Сетка таблицы1219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2">
    <w:name w:val="Сетка таблицы30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3">
    <w:name w:val="Сетка таблицы30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11">
    <w:name w:val="Сетка таблицы1219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3">
    <w:name w:val="Сетка таблицы1139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3">
    <w:name w:val="Сетка таблицы11110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2">
    <w:name w:val="Сетка таблицы120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12">
    <w:name w:val="Сетка таблицы1139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">
    <w:name w:val="Сетка таблицы1139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2">
    <w:name w:val="Сетка таблицы1139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1">
    <w:name w:val="Сетка таблицы1210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1">
    <w:name w:val="Сетка таблицы11110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0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">
    <w:name w:val="Сетка таблицы30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0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">
    <w:name w:val="Сетка таблицы1137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2">
    <w:name w:val="Сетка таблицы210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1">
    <w:name w:val="Сетка таблицы11119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2">
    <w:name w:val="Сетка таблицы114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12">
    <w:name w:val="Сетка таблицы1219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0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2">
    <w:name w:val="Сетка таблицы11131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2">
    <w:name w:val="Сетка таблицы231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">
    <w:name w:val="Сетка таблицы48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1">
    <w:name w:val="Сетка таблицы1138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12">
    <w:name w:val="Сетка таблицы139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2">
    <w:name w:val="Сетка таблицы1135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2">
    <w:name w:val="Сетка таблицы219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2">
    <w:name w:val="Сетка таблицы30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2">
    <w:name w:val="Сетка таблицы1120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3">
    <w:name w:val="Сетка таблицы1131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2">
    <w:name w:val="Сетка таблицы11117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Сетка таблицы1138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1">
    <w:name w:val="Сетка таблицы1139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2">
    <w:name w:val="Сетка таблицы11111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2">
    <w:name w:val="Сетка таблицы11119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1">
    <w:name w:val="Сетка таблицы49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1">
    <w:name w:val="Сетка таблицы11311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11">
    <w:name w:val="Сетка таблицы139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2">
    <w:name w:val="Сетка таблицы1120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Сетка таблицы30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2">
    <w:name w:val="Сетка таблицы113111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0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2">
    <w:name w:val="Сетка таблицы49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a">
    <w:name w:val="Сетка таблицы1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0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annotation reference"/>
    <w:basedOn w:val="a0"/>
    <w:uiPriority w:val="99"/>
    <w:semiHidden/>
    <w:unhideWhenUsed/>
    <w:rsid w:val="005C15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8633</Words>
  <Characters>49211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2024-10-21T09:41:00Z</cp:lastPrinted>
  <dcterms:created xsi:type="dcterms:W3CDTF">2024-10-24T13:57:00Z</dcterms:created>
  <dcterms:modified xsi:type="dcterms:W3CDTF">2024-10-24T13:57:00Z</dcterms:modified>
</cp:coreProperties>
</file>