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18.04.2025</w:t>
                            </w:r>
                            <w:r>
                              <w:t xml:space="preserve"> № 41н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 xml:space="preserve">подпункт 2.2.119 изложить в следующей редакции: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«2.2.119.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«12745 Расходы по приобретению </w:t>
      </w:r>
      <w:r>
        <w:rPr>
          <w:sz w:val="28"/>
        </w:rPr>
        <w:t>спецпродукции</w:t>
      </w:r>
      <w:r>
        <w:rPr>
          <w:sz w:val="28"/>
        </w:rPr>
        <w:t xml:space="preserve"> и техническому обеспечению инспекции </w:t>
      </w:r>
      <w:r>
        <w:rPr>
          <w:sz w:val="28"/>
        </w:rPr>
        <w:t>Гостехнадзора</w:t>
      </w:r>
      <w:r>
        <w:rPr>
          <w:sz w:val="28"/>
        </w:rPr>
        <w:t xml:space="preserve">» отражаются расходы областного бюджета по приобретению </w:t>
      </w:r>
      <w:r>
        <w:rPr>
          <w:sz w:val="28"/>
        </w:rPr>
        <w:t>спецпродукции</w:t>
      </w:r>
      <w:r>
        <w:rPr>
          <w:sz w:val="28"/>
        </w:rPr>
        <w:t xml:space="preserve"> и техническому обеспечению государственной инспекции Курской области по надзору за техническим состоянием самоходных машин и других видов техники, в том числе: </w:t>
      </w:r>
    </w:p>
    <w:p w14:paraId="14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приобретение </w:t>
      </w:r>
      <w:r>
        <w:rPr>
          <w:sz w:val="28"/>
        </w:rPr>
        <w:t>спецпродукции</w:t>
      </w:r>
      <w:r>
        <w:rPr>
          <w:sz w:val="28"/>
        </w:rPr>
        <w:t>;</w:t>
      </w:r>
    </w:p>
    <w:p w14:paraId="15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приобретение технических средств, являющихся средствами технического обеспечения, необходимого для оказания государственных услуг (кроме средств технического обеспечения, необходимого для функционирования информационных систем и компонентов </w:t>
      </w:r>
      <w:r>
        <w:rPr>
          <w:sz w:val="28"/>
        </w:rPr>
        <w:t>ИКТ-инфраструктуры</w:t>
      </w:r>
      <w:r>
        <w:rPr>
          <w:sz w:val="28"/>
        </w:rPr>
        <w:t xml:space="preserve">), расходы по их эксплуатации и восстановлению; </w:t>
      </w:r>
    </w:p>
    <w:p w14:paraId="16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приобретение автомобильной техники и автомобильного имущества; </w:t>
      </w:r>
    </w:p>
    <w:p w14:paraId="17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расходы на обеспечение эксплуатации и восстановление автомобильной техники (в том числе приобретение</w:t>
      </w:r>
      <w:r>
        <w:rPr>
          <w:sz w:val="28"/>
        </w:rPr>
        <w:t xml:space="preserve"> горюче-смазочных материалов)</w:t>
      </w:r>
      <w:r>
        <w:rPr>
          <w:sz w:val="28"/>
        </w:rPr>
        <w:t>.»</w:t>
      </w:r>
      <w:r>
        <w:rPr>
          <w:sz w:val="28"/>
        </w:rPr>
        <w:t>;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 </w:t>
      </w:r>
      <w:r>
        <w:rPr>
          <w:sz w:val="28"/>
        </w:rPr>
        <w:t>дополнить</w:t>
      </w:r>
      <w:r>
        <w:rPr>
          <w:sz w:val="28"/>
        </w:rPr>
        <w:t xml:space="preserve"> подпунктом </w:t>
      </w:r>
      <w:r>
        <w:rPr>
          <w:sz w:val="28"/>
        </w:rPr>
        <w:t>2.2.194</w:t>
      </w:r>
      <w:r>
        <w:rPr>
          <w:sz w:val="28"/>
          <w:vertAlign w:val="superscript"/>
        </w:rPr>
        <w:t>13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 xml:space="preserve">: 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«2.2.194</w:t>
      </w:r>
      <w:r>
        <w:rPr>
          <w:sz w:val="28"/>
          <w:vertAlign w:val="superscript"/>
        </w:rPr>
        <w:t>13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«12902 Иной межбюджетный</w:t>
      </w:r>
      <w:r>
        <w:rPr>
          <w:sz w:val="28"/>
        </w:rPr>
        <w:t xml:space="preserve"> трансферт бюджету муниципального образования «Город Курск» на финансовое обеспечение мероприятий по развитию и благоустройству административного центра</w:t>
      </w:r>
      <w:r>
        <w:rPr>
          <w:sz w:val="28"/>
        </w:rPr>
        <w:t xml:space="preserve">» отражаются расходы областного бюджета </w:t>
      </w:r>
      <w:r>
        <w:rPr>
          <w:sz w:val="28"/>
        </w:rPr>
        <w:t xml:space="preserve">на предоставление иного межбюджетного трансферта на финансовое </w:t>
      </w:r>
      <w:r>
        <w:rPr>
          <w:sz w:val="28"/>
        </w:rPr>
        <w:t>обеспечение мероприятий по развитию и благоустройству административного центра</w:t>
      </w:r>
      <w:r>
        <w:rPr>
          <w:sz w:val="28"/>
        </w:rPr>
        <w:t>.».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</w:p>
    <w:p w14:paraId="1B000000">
      <w:pPr>
        <w:pStyle w:val="Style_2"/>
        <w:ind w:firstLine="0" w:left="709"/>
        <w:jc w:val="both"/>
      </w:pPr>
      <w:r>
        <w:t>1)</w:t>
      </w:r>
      <w:r>
        <w:t> </w:t>
      </w:r>
      <w: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952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«27 4 02 12739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«Центр компетенций развития городской среды Курской области»</w:t>
            </w:r>
          </w:p>
        </w:tc>
      </w:tr>
    </w:tbl>
    <w:p w14:paraId="1E000000">
      <w:pPr>
        <w:pStyle w:val="Style_4"/>
        <w:ind w:firstLine="709" w:left="0"/>
      </w:pPr>
      <w: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«27 4 02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12902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Иной межбюджетный трансферт бюджету муниципального образования «Город Курск» на финансовое обеспечение мероприятий по развитию и благоустройству административного центра»;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«81 2 00 51180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округов»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</w:t>
      </w:r>
      <w:r>
        <w:rPr>
          <w:sz w:val="28"/>
        </w:rPr>
        <w:t>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1032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81 2 00 51980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81 2 00 52520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Социальная поддержка Героев Советского Союза, Героев Российской Федерации и полных кавалеров ордена Славы</w:t>
            </w:r>
            <w:r>
              <w:rPr>
                <w:sz w:val="28"/>
              </w:rPr>
              <w:t>».</w:t>
            </w:r>
          </w:p>
        </w:tc>
      </w:tr>
    </w:tbl>
    <w:p w14:paraId="29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ConsPlusNonformat"/>
    <w:link w:val="Style_6_ch"/>
    <w:pPr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9_ch" w:type="character">
    <w:name w:val="ConsPlusTitle"/>
    <w:link w:val="Style_9"/>
    <w:rPr>
      <w:rFonts w:ascii="Calibri" w:hAnsi="Calibri"/>
      <w:b w:val="1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 Paragraph"/>
    <w:basedOn w:val="Style_5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5_ch"/>
    <w:link w:val="Style_12"/>
    <w:rPr>
      <w:rFonts w:ascii="Calibri" w:hAnsi="Calibri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ont Style12"/>
    <w:link w:val="Style_16_ch"/>
    <w:rPr>
      <w:rFonts w:ascii="Times New Roman" w:hAnsi="Times New Roman"/>
      <w:sz w:val="30"/>
    </w:rPr>
  </w:style>
  <w:style w:styleId="Style_16_ch" w:type="character">
    <w:name w:val="Font Style12"/>
    <w:link w:val="Style_16"/>
    <w:rPr>
      <w:rFonts w:ascii="Times New Roman" w:hAnsi="Times New Roman"/>
      <w:sz w:val="30"/>
    </w:rPr>
  </w:style>
  <w:style w:styleId="Style_17" w:type="paragraph">
    <w:name w:val="s_16"/>
    <w:basedOn w:val="Style_5"/>
    <w:link w:val="Style_17_ch"/>
    <w:pPr>
      <w:spacing w:afterAutospacing="on" w:beforeAutospacing="on"/>
      <w:ind/>
    </w:pPr>
  </w:style>
  <w:style w:styleId="Style_17_ch" w:type="character">
    <w:name w:val="s_16"/>
    <w:basedOn w:val="Style_5_ch"/>
    <w:link w:val="Style_17"/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1" w:type="paragraph">
    <w:name w:val="Style4"/>
    <w:basedOn w:val="Style_5"/>
    <w:link w:val="Style_21_ch"/>
    <w:pPr>
      <w:widowControl w:val="0"/>
      <w:spacing w:line="546" w:lineRule="exact"/>
      <w:ind w:firstLine="552" w:left="0"/>
      <w:jc w:val="both"/>
    </w:pPr>
  </w:style>
  <w:style w:styleId="Style_21_ch" w:type="character">
    <w:name w:val="Style4"/>
    <w:basedOn w:val="Style_5_ch"/>
    <w:link w:val="Style_21"/>
  </w:style>
  <w:style w:styleId="Style_22" w:type="paragraph">
    <w:name w:val="Hyperlink"/>
    <w:basedOn w:val="Style_13"/>
    <w:link w:val="Style_22_ch"/>
    <w:rPr>
      <w:color w:val="0000FF"/>
      <w:u w:val="single"/>
    </w:rPr>
  </w:style>
  <w:style w:styleId="Style_22_ch" w:type="character">
    <w:name w:val="Hyperlink"/>
    <w:basedOn w:val="Style_13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msonormal_mr_css_attr"/>
    <w:basedOn w:val="Style_5"/>
    <w:link w:val="Style_27_ch"/>
    <w:pPr>
      <w:spacing w:afterAutospacing="on" w:beforeAutospacing="on"/>
      <w:ind/>
    </w:pPr>
  </w:style>
  <w:style w:styleId="Style_27_ch" w:type="character">
    <w:name w:val="msonormal_mr_css_attr"/>
    <w:basedOn w:val="Style_5_ch"/>
    <w:link w:val="Style_27"/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_1"/>
    <w:basedOn w:val="Style_5"/>
    <w:link w:val="Style_30_ch"/>
    <w:pPr>
      <w:spacing w:afterAutospacing="on" w:beforeAutospacing="on"/>
      <w:ind/>
    </w:pPr>
  </w:style>
  <w:style w:styleId="Style_30_ch" w:type="character">
    <w:name w:val="s_1"/>
    <w:basedOn w:val="Style_5_ch"/>
    <w:link w:val="Style_30"/>
  </w:style>
  <w:style w:styleId="Style_31" w:type="paragraph">
    <w:name w:val="ConsPlusTitlePage"/>
    <w:link w:val="Style_3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highlightsearch"/>
    <w:basedOn w:val="Style_13"/>
    <w:link w:val="Style_32_ch"/>
  </w:style>
  <w:style w:styleId="Style_32_ch" w:type="character">
    <w:name w:val="highlightsearch"/>
    <w:basedOn w:val="Style_13_ch"/>
    <w:link w:val="Style_32"/>
  </w:style>
  <w:style w:styleId="Style_33" w:type="paragraph">
    <w:name w:val="footer"/>
    <w:basedOn w:val="Style_5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5_ch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No Spacing"/>
    <w:link w:val="Style_37_ch"/>
    <w:pPr>
      <w:spacing w:after="0" w:line="240" w:lineRule="auto"/>
      <w:ind/>
    </w:pPr>
    <w:rPr>
      <w:rFonts w:ascii="Times New Roman" w:hAnsi="Times New Roman"/>
      <w:sz w:val="28"/>
    </w:rPr>
  </w:style>
  <w:style w:styleId="Style_37_ch" w:type="character">
    <w:name w:val="No Spacing"/>
    <w:link w:val="Style_37"/>
    <w:rPr>
      <w:rFonts w:ascii="Times New Roman" w:hAnsi="Times New Roman"/>
      <w:sz w:val="28"/>
    </w:rPr>
  </w:style>
  <w:style w:styleId="Style_38" w:type="paragraph">
    <w:name w:val="Normal (Web)"/>
    <w:basedOn w:val="Style_5"/>
    <w:link w:val="Style_38_ch"/>
  </w:style>
  <w:style w:styleId="Style_38_ch" w:type="character">
    <w:name w:val="Normal (Web)"/>
    <w:basedOn w:val="Style_5_ch"/>
    <w:link w:val="Style_38"/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2025-04-18T12:26:08Z</dcterms:modified>
</cp:coreProperties>
</file>