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2933382</wp:posOffset>
                </wp:positionH>
                <wp:positionV relativeFrom="page">
                  <wp:posOffset>752474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11.02.2025  </w:t>
                            </w:r>
                            <w:r>
                              <w:t xml:space="preserve"> № 18н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пункте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в подпункте 2.1 подп</w:t>
      </w:r>
      <w:r>
        <w:rPr>
          <w:sz w:val="28"/>
        </w:rPr>
        <w:t>ункт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2.1.28 и 2.1.2</w:t>
      </w:r>
      <w:r>
        <w:rPr>
          <w:sz w:val="28"/>
        </w:rPr>
        <w:t>9 изложить в следующей редакции: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2.1.28.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«12807 Денежная выплата отдельным категориям военнослужащих и членам семьи военнослужащего» отражаются расходы областного бюджета, связанные с осуществлением денежных выплат гражданам в соответствии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"https://login.consultant.ru/link/?req=doc&amp;base=RLAW417&amp;n=120516"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Администрации Курской области от 25.05.2022 № 593-па «О мерах по реализации постановления Администрации Курской области от 29.04.2022 № 502-па».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2.1.29.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«12811 Денежная выплата добровольцам и членам семьи добровольца» отражаются расходы областного бюджета, связанные с осуществлением денежных выплат гражданам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"https://login.consultant.ru/link/?req=doc&amp;base=RLAW417&amp;n=120518"</w:instrText>
      </w:r>
      <w:r>
        <w:rPr>
          <w:sz w:val="28"/>
        </w:rPr>
        <w:fldChar w:fldCharType="separate"/>
      </w:r>
      <w:r>
        <w:rPr>
          <w:sz w:val="28"/>
        </w:rPr>
        <w:t>постановлением</w:t>
      </w:r>
      <w:r>
        <w:rPr>
          <w:sz w:val="28"/>
        </w:rPr>
        <w:fldChar w:fldCharType="end"/>
      </w:r>
      <w:r>
        <w:rPr>
          <w:sz w:val="28"/>
        </w:rPr>
        <w:t xml:space="preserve"> Администрации Курской области от 08.07.2022 № 768-па «О мерах по реализации постановления Администрации Курской области от 17.06.2022 № 661-па»</w:t>
      </w:r>
      <w:r>
        <w:rPr>
          <w:sz w:val="28"/>
        </w:rPr>
        <w:t>.»</w:t>
      </w:r>
      <w:r>
        <w:rPr>
          <w:sz w:val="28"/>
        </w:rPr>
        <w:t>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2) в подпункте 2.2: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2.2.309</w:t>
      </w:r>
      <w:r>
        <w:rPr>
          <w:sz w:val="28"/>
          <w:vertAlign w:val="superscript"/>
        </w:rPr>
        <w:t>1</w:t>
      </w:r>
      <w:r>
        <w:rPr>
          <w:sz w:val="32"/>
        </w:rPr>
        <w:t xml:space="preserve"> </w:t>
      </w:r>
      <w:r>
        <w:rPr>
          <w:sz w:val="28"/>
        </w:rPr>
        <w:t>следующего содержания: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«2.2.</w:t>
      </w:r>
      <w:r>
        <w:rPr>
          <w:sz w:val="28"/>
        </w:rPr>
        <w:t>309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«R4060 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операции» отражаются расходы областного бюджета, источником финансового обеспечения которых являются иные межбюджетные трансферты из </w:t>
      </w:r>
      <w:r>
        <w:rPr>
          <w:sz w:val="28"/>
        </w:rPr>
        <w:t>федерального бюджета, на 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</w:t>
      </w:r>
      <w:r>
        <w:rPr>
          <w:sz w:val="28"/>
        </w:rPr>
        <w:t>, в период проведения специальной военной операции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9000000">
      <w:pPr>
        <w:ind w:firstLine="709" w:left="0"/>
        <w:jc w:val="both"/>
        <w:rPr>
          <w:sz w:val="32"/>
        </w:rPr>
      </w:pPr>
      <w:r>
        <w:rPr>
          <w:sz w:val="28"/>
        </w:rPr>
        <w:t>1)</w:t>
      </w:r>
      <w:r>
        <w:rPr>
          <w:color w:themeColor="text1" w:val="000000"/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«01 4 02 R4020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страхования»</w:t>
            </w:r>
          </w:p>
        </w:tc>
      </w:tr>
    </w:tbl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«01 4 02 R4060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операции»</w:t>
            </w:r>
            <w:r>
              <w:rPr>
                <w:sz w:val="28"/>
              </w:rPr>
              <w:t>;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«03 4 01 12807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денежная выплата отдельным категориям военнослужащих и членам семьи военнослужащего»</w:t>
            </w:r>
          </w:p>
        </w:tc>
      </w:tr>
    </w:tbl>
    <w:p w14:paraId="22000000">
      <w:pPr>
        <w:ind w:firstLine="720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«03 4 01 12807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Денежная выплата отдельным категориям военнослужащих и членам семьи военнослужащего»;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строку: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«03 4 01 12811</w:t>
            </w:r>
          </w:p>
          <w:p w14:paraId="27000000">
            <w:pPr>
              <w:rPr>
                <w:sz w:val="28"/>
              </w:rPr>
            </w:pP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Единовременная денежная выплата добровольцам и членам семьи добровольца»;</w:t>
            </w:r>
          </w:p>
        </w:tc>
      </w:tr>
    </w:tbl>
    <w:p w14:paraId="29000000">
      <w:pPr>
        <w:ind w:firstLine="720" w:left="0"/>
        <w:jc w:val="both"/>
        <w:rPr>
          <w:sz w:val="28"/>
        </w:rPr>
      </w:pPr>
      <w:r>
        <w:rPr>
          <w:sz w:val="28"/>
        </w:rPr>
        <w:t>изложить в следующей редакции: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«03 4 01 12811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Денежная выплата добровольцам и членам семьи добровольца».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Normal (Web)"/>
    <w:basedOn w:val="Style_4"/>
    <w:link w:val="Style_5_ch"/>
  </w:style>
  <w:style w:styleId="Style_5_ch" w:type="character">
    <w:name w:val="Normal (Web)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TitlePage"/>
    <w:link w:val="Style_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7_ch" w:type="character">
    <w:name w:val="ConsPlusTitlePage"/>
    <w:link w:val="Style_7"/>
    <w:rPr>
      <w:rFonts w:ascii="Tahoma" w:hAnsi="Tahoma"/>
      <w:sz w:val="20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4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s_16"/>
    <w:basedOn w:val="Style_4"/>
    <w:link w:val="Style_14_ch"/>
    <w:pPr>
      <w:spacing w:afterAutospacing="on" w:beforeAutospacing="on"/>
      <w:ind/>
    </w:pPr>
  </w:style>
  <w:style w:styleId="Style_14_ch" w:type="character">
    <w:name w:val="s_16"/>
    <w:basedOn w:val="Style_4_ch"/>
    <w:link w:val="Style_14"/>
  </w:style>
  <w:style w:styleId="Style_15" w:type="paragraph">
    <w:name w:val="No Spacing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No Spacing"/>
    <w:link w:val="Style_15"/>
    <w:rPr>
      <w:rFonts w:ascii="Times New Roman" w:hAnsi="Times New Roman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Style4"/>
    <w:basedOn w:val="Style_4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4_ch"/>
    <w:link w:val="Style_17"/>
  </w:style>
  <w:style w:styleId="Style_18" w:type="paragraph">
    <w:name w:val="Font Style12"/>
    <w:link w:val="Style_18_ch"/>
    <w:rPr>
      <w:rFonts w:ascii="Times New Roman" w:hAnsi="Times New Roman"/>
      <w:sz w:val="30"/>
    </w:rPr>
  </w:style>
  <w:style w:styleId="Style_18_ch" w:type="character">
    <w:name w:val="Font Style12"/>
    <w:link w:val="Style_18"/>
    <w:rPr>
      <w:rFonts w:ascii="Times New Roman" w:hAnsi="Times New Roman"/>
      <w:sz w:val="30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6"/>
    <w:link w:val="Style_22_ch"/>
    <w:rPr>
      <w:color w:val="0000FF"/>
      <w:u w:val="single"/>
    </w:rPr>
  </w:style>
  <w:style w:styleId="Style_22_ch" w:type="character">
    <w:name w:val="Hyperlink"/>
    <w:basedOn w:val="Style_16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highlightsearch"/>
    <w:basedOn w:val="Style_16"/>
    <w:link w:val="Style_26_ch"/>
  </w:style>
  <w:style w:styleId="Style_26_ch" w:type="character">
    <w:name w:val="highlightsearch"/>
    <w:basedOn w:val="Style_16_ch"/>
    <w:link w:val="Style_26"/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_1"/>
    <w:basedOn w:val="Style_4"/>
    <w:link w:val="Style_28_ch"/>
    <w:pPr>
      <w:spacing w:afterAutospacing="on" w:beforeAutospacing="on"/>
      <w:ind/>
    </w:pPr>
  </w:style>
  <w:style w:styleId="Style_28_ch" w:type="character">
    <w:name w:val="s_1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msonormal_mr_css_attr"/>
    <w:basedOn w:val="Style_4"/>
    <w:link w:val="Style_30_ch"/>
    <w:pPr>
      <w:spacing w:afterAutospacing="on" w:beforeAutospacing="on"/>
      <w:ind/>
    </w:pPr>
  </w:style>
  <w:style w:styleId="Style_30_ch" w:type="character">
    <w:name w:val="msonormal_mr_css_attr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ConsPlusNonformat"/>
    <w:link w:val="Style_33_ch"/>
    <w:pPr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footer"/>
    <w:basedOn w:val="Style_4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4_ch"/>
    <w:link w:val="Style_34"/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Balloon Text"/>
    <w:basedOn w:val="Style_4"/>
    <w:link w:val="Style_38_ch"/>
    <w:rPr>
      <w:rFonts w:ascii="Tahoma" w:hAnsi="Tahoma"/>
      <w:sz w:val="16"/>
    </w:rPr>
  </w:style>
  <w:style w:styleId="Style_38_ch" w:type="character">
    <w:name w:val="Balloon Text"/>
    <w:basedOn w:val="Style_4_ch"/>
    <w:link w:val="Style_38"/>
    <w:rPr>
      <w:rFonts w:ascii="Tahoma" w:hAnsi="Tahoma"/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2025-02-12T06:34:22Z</dcterms:modified>
</cp:coreProperties>
</file>