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24.12.2025</w:t>
      </w:r>
      <w:r>
        <w:rPr>
          <w:sz w:val="28"/>
        </w:rPr>
        <w:t xml:space="preserve"> № 148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п</w:t>
      </w:r>
      <w:r>
        <w:rPr>
          <w:b w:val="1"/>
          <w:sz w:val="28"/>
        </w:rPr>
        <w:t xml:space="preserve">риказ комитета финансов Курской области от 03.12.2021 </w:t>
      </w:r>
      <w:r>
        <w:rPr>
          <w:b w:val="1"/>
          <w:sz w:val="28"/>
        </w:rPr>
        <w:t>№</w:t>
      </w:r>
      <w:r>
        <w:rPr>
          <w:b w:val="1"/>
          <w:sz w:val="28"/>
        </w:rPr>
        <w:t xml:space="preserve"> 186н </w:t>
      </w:r>
      <w:r>
        <w:rPr>
          <w:b w:val="1"/>
          <w:sz w:val="28"/>
        </w:rPr>
        <w:t>«</w:t>
      </w:r>
      <w:r>
        <w:rPr>
          <w:b w:val="1"/>
          <w:sz w:val="28"/>
        </w:rPr>
        <w:t>Об утверждении Порядка санкционирования оплаты денежных обязательств получателей средств областного бюджета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</w:r>
      <w:r>
        <w:rPr>
          <w:b w:val="1"/>
          <w:sz w:val="28"/>
        </w:rPr>
        <w:t>»</w:t>
      </w:r>
    </w:p>
    <w:p w14:paraId="0A000000">
      <w:pPr>
        <w:ind/>
        <w:jc w:val="center"/>
        <w:outlineLvl w:val="0"/>
        <w:rPr>
          <w:b w:val="1"/>
          <w:sz w:val="28"/>
        </w:rPr>
      </w:pPr>
    </w:p>
    <w:p w14:paraId="0B000000">
      <w:pPr>
        <w:ind w:firstLine="169" w:left="540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</w:t>
      </w:r>
      <w:r>
        <w:rPr>
          <w:sz w:val="28"/>
        </w:rPr>
        <w:t xml:space="preserve">ункт 3 исключить. </w:t>
      </w:r>
    </w:p>
    <w:p w14:paraId="0C00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 xml:space="preserve">В </w:t>
      </w:r>
      <w:r>
        <w:rPr>
          <w:sz w:val="28"/>
        </w:rPr>
        <w:t>Порядк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санкционирования оплаты денежных обязательств получателей средств областного бюджета</w:t>
      </w:r>
      <w:r>
        <w:rPr>
          <w:sz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1) </w:t>
      </w:r>
      <w:r>
        <w:rPr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>ункт 6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дополнить </w:t>
      </w:r>
      <w:r>
        <w:rPr>
          <w:color w:themeColor="text1" w:val="000000"/>
          <w:sz w:val="28"/>
        </w:rPr>
        <w:t>подпунктом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17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следующего содержания:</w:t>
      </w:r>
    </w:p>
    <w:p w14:paraId="0E00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</w:rPr>
        <w:t xml:space="preserve">17) </w:t>
      </w:r>
      <w:r>
        <w:rPr>
          <w:sz w:val="28"/>
        </w:rPr>
        <w:t xml:space="preserve">наличие сведений о </w:t>
      </w:r>
      <w:r>
        <w:rPr>
          <w:sz w:val="28"/>
        </w:rPr>
        <w:t>соглашении</w:t>
      </w:r>
      <w:r>
        <w:rPr>
          <w:sz w:val="28"/>
        </w:rPr>
        <w:t xml:space="preserve"> о предоставлении субсидии (иного межбюджетного трансферта, имеющего целевое назначение) из</w:t>
      </w:r>
      <w:r>
        <w:rPr>
          <w:sz w:val="28"/>
        </w:rPr>
        <w:t> </w:t>
      </w:r>
      <w:r>
        <w:rPr>
          <w:sz w:val="28"/>
        </w:rPr>
        <w:t>бюджета субъекта</w:t>
      </w:r>
      <w:r>
        <w:rPr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z w:val="28"/>
        </w:rPr>
        <w:t xml:space="preserve"> местному бюджету, договоре (соглашении) о</w:t>
      </w:r>
      <w:r>
        <w:rPr>
          <w:sz w:val="28"/>
        </w:rPr>
        <w:t> </w:t>
      </w:r>
      <w:r>
        <w:rPr>
          <w:sz w:val="28"/>
        </w:rPr>
        <w:t>предоставлении субсидии из бюджета субъекта</w:t>
      </w:r>
      <w:r>
        <w:rPr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z w:val="28"/>
        </w:rPr>
        <w:t xml:space="preserve"> юридическому лицу</w:t>
      </w:r>
      <w:r>
        <w:rPr>
          <w:sz w:val="28"/>
        </w:rPr>
        <w:t xml:space="preserve">, </w:t>
      </w:r>
      <w:r>
        <w:rPr>
          <w:sz w:val="28"/>
        </w:rPr>
        <w:t>индивидуальному предпринимателю, физическому лицу - производителю товаров, работ, услуг</w:t>
      </w:r>
      <w:r>
        <w:rPr>
          <w:sz w:val="28"/>
        </w:rPr>
        <w:t xml:space="preserve"> в реестре соглашений</w:t>
      </w:r>
      <w:r>
        <w:rPr>
          <w:color w:themeColor="text1" w:val="000000"/>
          <w:sz w:val="28"/>
        </w:rPr>
        <w:t xml:space="preserve"> в</w:t>
      </w:r>
      <w:r>
        <w:rPr>
          <w:color w:themeColor="text1" w:val="000000"/>
          <w:sz w:val="28"/>
        </w:rPr>
        <w:t xml:space="preserve"> соответствии с </w:t>
      </w:r>
      <w:r>
        <w:rPr>
          <w:color w:themeColor="text1" w:val="000000"/>
          <w:sz w:val="28"/>
        </w:rPr>
        <w:t>Порядк</w:t>
      </w:r>
      <w:r>
        <w:rPr>
          <w:color w:themeColor="text1" w:val="000000"/>
          <w:sz w:val="28"/>
        </w:rPr>
        <w:t>ом</w:t>
      </w:r>
      <w:r>
        <w:rPr>
          <w:color w:themeColor="text1" w:val="000000"/>
          <w:sz w:val="28"/>
        </w:rPr>
        <w:t xml:space="preserve">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межбюджетных трансфертов бюджетам бюджетной системы Российской Федерации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>;</w:t>
      </w:r>
    </w:p>
    <w:p w14:paraId="0F000000">
      <w:pPr>
        <w:ind w:firstLine="709" w:left="0"/>
        <w:rPr>
          <w:sz w:val="28"/>
        </w:rPr>
      </w:pPr>
      <w:r>
        <w:rPr>
          <w:color w:themeColor="text1" w:val="000000"/>
          <w:sz w:val="28"/>
        </w:rPr>
        <w:t>2)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 xml:space="preserve">ункт </w:t>
      </w:r>
      <w:r>
        <w:rPr>
          <w:color w:themeColor="text1" w:val="000000"/>
          <w:sz w:val="28"/>
        </w:rPr>
        <w:t>11</w:t>
      </w:r>
      <w:r>
        <w:rPr>
          <w:color w:themeColor="text1" w:val="000000"/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</w:t>
      </w:r>
      <w:r>
        <w:rPr>
          <w:sz w:val="28"/>
        </w:rPr>
        <w:t>:</w:t>
      </w:r>
    </w:p>
    <w:p w14:paraId="1000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</w:rPr>
        <w:t xml:space="preserve">11. </w:t>
      </w:r>
      <w:r>
        <w:rPr>
          <w:color w:themeColor="text1" w:val="000000"/>
          <w:sz w:val="28"/>
        </w:rPr>
        <w:t xml:space="preserve">В случае если информация, указанная в Платежном документе, не соответствуют требованиям, установленным </w:t>
      </w:r>
      <w:r>
        <w:rPr>
          <w:color w:themeColor="text1" w:val="000000"/>
          <w:sz w:val="28"/>
        </w:rPr>
        <w:t>пунктами 3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4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пунктами 7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9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10</w:t>
      </w:r>
      <w:r>
        <w:rPr>
          <w:color w:themeColor="text1" w:val="000000"/>
          <w:sz w:val="28"/>
        </w:rPr>
        <w:t xml:space="preserve"> и 10.1 настоящего Порядка, или в случае установления нарушения получателем средств областного бюджета условий, установленных </w:t>
      </w:r>
      <w:r>
        <w:rPr>
          <w:color w:themeColor="text1" w:val="000000"/>
          <w:sz w:val="28"/>
        </w:rPr>
        <w:t>пунктом 8</w:t>
      </w:r>
      <w:r>
        <w:rPr>
          <w:color w:themeColor="text1" w:val="000000"/>
          <w:sz w:val="28"/>
        </w:rPr>
        <w:t xml:space="preserve"> настоящего Порядка, УФК по Курской области не позднее сроков, установленных </w:t>
      </w:r>
      <w:r>
        <w:rPr>
          <w:color w:themeColor="text1" w:val="000000"/>
          <w:sz w:val="28"/>
        </w:rPr>
        <w:t>пунктом 3</w:t>
      </w:r>
      <w:r>
        <w:rPr>
          <w:color w:themeColor="text1" w:val="000000"/>
          <w:sz w:val="28"/>
        </w:rPr>
        <w:t xml:space="preserve"> настоящего Порядка, направляет получателю средств областного бюджета (администратору источников финансирования дефицита</w:t>
      </w:r>
      <w:r>
        <w:rPr>
          <w:color w:themeColor="text1" w:val="000000"/>
          <w:sz w:val="28"/>
        </w:rPr>
        <w:t xml:space="preserve"> областного бюджета) уведомление в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 xml:space="preserve">электронном виде, в котором указывается дата и причина отказа в случае, если Платежный документ представлялся в электронном виде, или </w:t>
      </w:r>
      <w:r>
        <w:rPr>
          <w:color w:themeColor="text1" w:val="000000"/>
          <w:sz w:val="28"/>
        </w:rPr>
        <w:t>возвращает получателю средств областного бюджета (администратору источников финансирования дефицита областного бюджета) Платежный документ на бумажном носителе с указанием в прилагаемом уведомлении даты и причины возврата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>;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д</w:t>
      </w:r>
      <w:r>
        <w:rPr>
          <w:color w:themeColor="text1" w:val="000000"/>
          <w:sz w:val="28"/>
        </w:rPr>
        <w:t>ополнить сноск</w:t>
      </w:r>
      <w:r>
        <w:rPr>
          <w:color w:themeColor="text1" w:val="000000"/>
          <w:sz w:val="28"/>
        </w:rPr>
        <w:t>ой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1</w:t>
      </w:r>
      <w:r>
        <w:rPr>
          <w:color w:themeColor="text1" w:val="000000"/>
          <w:sz w:val="28"/>
        </w:rPr>
        <w:t xml:space="preserve"> следующего содержания:</w:t>
      </w:r>
      <w:r>
        <w:rPr>
          <w:color w:themeColor="text1" w:val="000000"/>
          <w:sz w:val="28"/>
        </w:rPr>
        <w:t xml:space="preserve"> </w:t>
      </w:r>
    </w:p>
    <w:p w14:paraId="12000000">
      <w:pPr>
        <w:ind w:firstLine="709" w:left="0"/>
        <w:contextualSpacing w:val="1"/>
        <w:jc w:val="both"/>
        <w:rPr>
          <w:color w:themeColor="text1" w:val="000000"/>
          <w:sz w:val="28"/>
          <w:vertAlign w:val="superscript"/>
        </w:rPr>
      </w:pP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  <w:vertAlign w:val="superscript"/>
        </w:rPr>
        <w:t xml:space="preserve"> </w:t>
      </w:r>
      <w:r>
        <w:rPr>
          <w:color w:themeColor="text1" w:val="000000"/>
          <w:sz w:val="28"/>
        </w:rPr>
        <w:t xml:space="preserve">Приказ Минфина России от 19.06.2023 </w:t>
      </w:r>
      <w:r>
        <w:rPr>
          <w:color w:themeColor="text1" w:val="000000"/>
          <w:sz w:val="28"/>
        </w:rPr>
        <w:t>№</w:t>
      </w:r>
      <w:r>
        <w:rPr>
          <w:color w:themeColor="text1" w:val="000000"/>
          <w:sz w:val="28"/>
        </w:rPr>
        <w:t xml:space="preserve"> 92н </w:t>
      </w: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</w:rPr>
        <w:t>Об утверждении Порядка ведения реестра соглашений (договоров) о предоставлении из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бюджетов бюджетной системы Российской Федерации субсидий и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</w:t>
      </w:r>
      <w:r>
        <w:rPr>
          <w:color w:themeColor="text1" w:val="000000"/>
          <w:sz w:val="28"/>
        </w:rPr>
        <w:t>ой системы Российской Федерации»</w:t>
      </w:r>
      <w:r>
        <w:rPr>
          <w:color w:themeColor="text1" w:val="000000"/>
          <w:sz w:val="28"/>
        </w:rPr>
        <w:t>.»</w:t>
      </w:r>
      <w:r>
        <w:rPr>
          <w:color w:themeColor="text1" w:val="000000"/>
          <w:sz w:val="28"/>
        </w:rPr>
        <w:t>.</w:t>
      </w:r>
    </w:p>
    <w:p w14:paraId="13000000">
      <w:pPr>
        <w:pStyle w:val="Style_2"/>
        <w:ind w:firstLine="0" w:left="567"/>
        <w:jc w:val="both"/>
        <w:rPr>
          <w:color w:themeColor="text1" w:val="000000"/>
          <w:sz w:val="28"/>
          <w:vertAlign w:val="superscript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spacing w:after="120"/>
      <w:ind w:firstLine="0" w:left="283"/>
    </w:pPr>
  </w:style>
  <w:style w:styleId="Style_6_ch" w:type="character">
    <w:name w:val="Body Text Indent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er"/>
    <w:basedOn w:val="Style_3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3_ch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Normal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ConsPlusNormal"/>
    <w:link w:val="Style_16"/>
    <w:rPr>
      <w:rFonts w:ascii="Times New Roman" w:hAnsi="Times New Roman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2025-12-24T10:35:18Z</dcterms:modified>
</cp:coreProperties>
</file>